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94AD" w14:textId="69597D08"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D632C8" w:rsidRPr="00D632C8">
        <w:rPr>
          <w:rFonts w:ascii="Arial" w:eastAsia="SimSun" w:hAnsi="Arial" w:cs="Times New Roman"/>
          <w:b/>
          <w:bCs/>
          <w:sz w:val="24"/>
          <w:szCs w:val="20"/>
          <w:lang w:val="en-US" w:eastAsia="ja-JP"/>
        </w:rPr>
        <w:t>R4-2405538</w:t>
      </w:r>
    </w:p>
    <w:p w14:paraId="12818EA9"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F4AACC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ED24D4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 xml:space="preserve">Nokia, </w:t>
      </w:r>
      <w:r w:rsidR="0043750A" w:rsidRPr="00614DD8">
        <w:rPr>
          <w:rFonts w:ascii="Arial" w:eastAsia="Calibri" w:hAnsi="Arial" w:cs="Arial"/>
          <w:b/>
          <w:bCs/>
          <w:sz w:val="24"/>
          <w:lang w:val="en-US"/>
        </w:rPr>
        <w:t>Nokia</w:t>
      </w:r>
      <w:r w:rsidRPr="00614DD8">
        <w:rPr>
          <w:rFonts w:ascii="Arial" w:eastAsia="Calibri" w:hAnsi="Arial" w:cs="Arial"/>
          <w:b/>
          <w:bCs/>
          <w:sz w:val="24"/>
          <w:lang w:val="en-US"/>
        </w:rPr>
        <w:t xml:space="preserve"> Shanghai Bell</w:t>
      </w:r>
    </w:p>
    <w:p w14:paraId="24EB0BC9" w14:textId="44AE92D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67D8F" w:rsidRPr="00267D8F">
        <w:rPr>
          <w:rFonts w:ascii="Arial" w:eastAsia="Calibri" w:hAnsi="Arial" w:cs="Arial"/>
          <w:b/>
          <w:bCs/>
          <w:sz w:val="24"/>
          <w:lang w:val="en-US"/>
        </w:rPr>
        <w:t>Discussion on less than 5Mhz RRM core part</w:t>
      </w:r>
    </w:p>
    <w:p w14:paraId="682FEEF1" w14:textId="14E7505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F3CD1" w:rsidRPr="003F3CD1">
        <w:rPr>
          <w:rFonts w:ascii="Arial" w:eastAsia="MS Mincho" w:hAnsi="Arial" w:cs="Arial"/>
          <w:b/>
          <w:bCs/>
          <w:sz w:val="24"/>
          <w:szCs w:val="20"/>
          <w:lang w:val="en-US"/>
        </w:rPr>
        <w:t>6.8.5</w:t>
      </w:r>
    </w:p>
    <w:p w14:paraId="11EE73F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3E45BA0" w14:textId="77777777" w:rsidR="00E323E9" w:rsidRPr="00614DD8" w:rsidRDefault="00E323E9" w:rsidP="00841BCD">
      <w:pPr>
        <w:tabs>
          <w:tab w:val="left" w:pos="1985"/>
        </w:tabs>
        <w:rPr>
          <w:rFonts w:ascii="Arial" w:eastAsia="Calibri" w:hAnsi="Arial" w:cs="Arial"/>
          <w:b/>
          <w:bCs/>
          <w:sz w:val="24"/>
          <w:lang w:val="en-US"/>
        </w:rPr>
      </w:pPr>
    </w:p>
    <w:p w14:paraId="6A9BAAC4"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CFB1F94" w14:textId="64B40A15" w:rsidR="0060543D" w:rsidRPr="00614DD8" w:rsidRDefault="00EE5178" w:rsidP="005C23A4">
      <w:pPr>
        <w:rPr>
          <w:lang w:val="en-US"/>
        </w:rPr>
      </w:pPr>
      <w:r>
        <w:rPr>
          <w:lang w:val="en-US"/>
        </w:rPr>
        <w:t xml:space="preserve">This contribution discusses about the remaining open issues on less than 5MHz </w:t>
      </w:r>
      <w:proofErr w:type="spellStart"/>
      <w:r w:rsidR="0040513D">
        <w:rPr>
          <w:lang w:val="en-US"/>
        </w:rPr>
        <w:t>bw</w:t>
      </w:r>
      <w:proofErr w:type="spellEnd"/>
      <w:r w:rsidR="0040513D">
        <w:rPr>
          <w:lang w:val="en-US"/>
        </w:rPr>
        <w:t xml:space="preserve"> maintenance. </w:t>
      </w:r>
      <w:r w:rsidR="00057AB8">
        <w:rPr>
          <w:lang w:val="en-US"/>
        </w:rPr>
        <w:t xml:space="preserve"> </w:t>
      </w:r>
    </w:p>
    <w:p w14:paraId="7B1332CF" w14:textId="53D75AE5" w:rsidR="00CB313C" w:rsidRDefault="003B659E" w:rsidP="0060543D">
      <w:pPr>
        <w:pStyle w:val="RAN4H1"/>
        <w:rPr>
          <w:lang w:val="en-US"/>
        </w:rPr>
      </w:pPr>
      <w:bookmarkStart w:id="4" w:name="_Toc116995842"/>
      <w:r w:rsidRPr="00614DD8">
        <w:rPr>
          <w:lang w:val="en-US"/>
        </w:rPr>
        <w:t>Discussion</w:t>
      </w:r>
      <w:bookmarkEnd w:id="4"/>
    </w:p>
    <w:p w14:paraId="258DA3E0" w14:textId="57AC9BB1" w:rsidR="00AA2FFA" w:rsidRPr="00AA2FFA" w:rsidRDefault="00AA2FFA" w:rsidP="00AA2FFA">
      <w:pPr>
        <w:pStyle w:val="RAN4H2"/>
        <w:rPr>
          <w:lang w:val="en-US"/>
        </w:rPr>
      </w:pPr>
      <w:r w:rsidRPr="00AA2FFA">
        <w:rPr>
          <w:lang w:val="en-US"/>
        </w:rPr>
        <w:t>Correction to HO requirements</w:t>
      </w:r>
    </w:p>
    <w:tbl>
      <w:tblPr>
        <w:tblStyle w:val="TableGrid"/>
        <w:tblW w:w="0" w:type="auto"/>
        <w:tblLook w:val="04A0" w:firstRow="1" w:lastRow="0" w:firstColumn="1" w:lastColumn="0" w:noHBand="0" w:noVBand="1"/>
      </w:tblPr>
      <w:tblGrid>
        <w:gridCol w:w="9617"/>
      </w:tblGrid>
      <w:tr w:rsidR="00CB313C" w14:paraId="2B16E092" w14:textId="77777777" w:rsidTr="00CB313C">
        <w:tc>
          <w:tcPr>
            <w:tcW w:w="9617" w:type="dxa"/>
          </w:tcPr>
          <w:p w14:paraId="730F25D4" w14:textId="77777777" w:rsidR="00CB313C" w:rsidRPr="00CB313C" w:rsidRDefault="00CB313C" w:rsidP="00CB313C">
            <w:pPr>
              <w:spacing w:line="256" w:lineRule="auto"/>
              <w:rPr>
                <w:rFonts w:ascii="Calibri" w:eastAsia="Calibri" w:hAnsi="Calibri" w:cs="Times New Roman"/>
                <w:b/>
                <w:kern w:val="2"/>
                <w:sz w:val="21"/>
                <w:szCs w:val="21"/>
                <w:lang w:eastAsia="ko-KR"/>
                <w14:ligatures w14:val="standardContextual"/>
              </w:rPr>
            </w:pPr>
            <w:r w:rsidRPr="00CB313C">
              <w:rPr>
                <w:rFonts w:ascii="Calibri" w:eastAsia="Calibri" w:hAnsi="Calibri" w:cs="Times New Roman"/>
                <w:b/>
                <w:kern w:val="2"/>
                <w:sz w:val="21"/>
                <w:szCs w:val="21"/>
                <w:lang w:eastAsia="ko-KR"/>
                <w14:ligatures w14:val="standardContextual"/>
              </w:rPr>
              <w:t xml:space="preserve">Issue 1-5: Correction to HO </w:t>
            </w:r>
            <w:proofErr w:type="gramStart"/>
            <w:r w:rsidRPr="00CB313C">
              <w:rPr>
                <w:rFonts w:ascii="Calibri" w:eastAsia="Calibri" w:hAnsi="Calibri" w:cs="Times New Roman"/>
                <w:b/>
                <w:kern w:val="2"/>
                <w:sz w:val="21"/>
                <w:szCs w:val="21"/>
                <w:lang w:eastAsia="ko-KR"/>
                <w14:ligatures w14:val="standardContextual"/>
              </w:rPr>
              <w:t>requirements</w:t>
            </w:r>
            <w:proofErr w:type="gramEnd"/>
          </w:p>
          <w:p w14:paraId="272B1866" w14:textId="77777777" w:rsidR="00CB313C" w:rsidRPr="00CB313C" w:rsidRDefault="00CB313C" w:rsidP="00CB313C">
            <w:pPr>
              <w:spacing w:line="256" w:lineRule="auto"/>
              <w:rPr>
                <w:rFonts w:ascii="Calibri" w:eastAsia="Calibri" w:hAnsi="Calibri" w:cs="Times New Roman"/>
                <w:kern w:val="2"/>
                <w:sz w:val="22"/>
                <w:lang w:eastAsia="zh-CN"/>
                <w14:ligatures w14:val="standardContextual"/>
              </w:rPr>
            </w:pPr>
            <w:r w:rsidRPr="00CB313C">
              <w:rPr>
                <w:rFonts w:ascii="Calibri" w:eastAsia="Calibri" w:hAnsi="Calibri" w:cs="Times New Roman"/>
                <w:b/>
                <w:kern w:val="2"/>
                <w:sz w:val="21"/>
                <w:szCs w:val="21"/>
                <w:lang w:eastAsia="ko-KR"/>
                <w14:ligatures w14:val="standardContextual"/>
              </w:rPr>
              <w:t>Way Forward:</w:t>
            </w:r>
          </w:p>
          <w:p w14:paraId="3B53C790" w14:textId="77777777" w:rsidR="00CB313C" w:rsidRPr="00CB313C" w:rsidRDefault="00CB313C" w:rsidP="00CB313C">
            <w:pPr>
              <w:spacing w:line="256" w:lineRule="auto"/>
              <w:ind w:left="568" w:hanging="284"/>
              <w:rPr>
                <w:rFonts w:ascii="Calibri" w:eastAsia="Calibri" w:hAnsi="Calibri" w:cs="Times New Roman"/>
                <w:kern w:val="2"/>
                <w:sz w:val="22"/>
                <w:lang w:val="en-US" w:eastAsia="zh-CN"/>
                <w14:ligatures w14:val="standardContextual"/>
              </w:rPr>
            </w:pPr>
            <w:r w:rsidRPr="00CB313C">
              <w:rPr>
                <w:rFonts w:ascii="Calibri" w:eastAsia="Calibri" w:hAnsi="Calibri" w:cs="Times New Roman"/>
                <w:kern w:val="2"/>
                <w:sz w:val="22"/>
                <w:lang w:eastAsia="zh-CN"/>
                <w14:ligatures w14:val="standardContextual"/>
              </w:rPr>
              <w:t>-</w:t>
            </w:r>
            <w:r w:rsidRPr="00CB313C">
              <w:rPr>
                <w:rFonts w:ascii="Calibri" w:eastAsia="Calibri" w:hAnsi="Calibri" w:cs="Times New Roman"/>
                <w:kern w:val="2"/>
                <w:sz w:val="22"/>
                <w:lang w:eastAsia="zh-CN"/>
                <w14:ligatures w14:val="standardContextual"/>
              </w:rPr>
              <w:tab/>
              <w:t xml:space="preserve">Option 1: For HO requirements, include the additional SSB samples for SBI and MIB reading due to PBCH puncturing as part of T∆ instead of </w:t>
            </w:r>
            <w:proofErr w:type="spellStart"/>
            <w:r w:rsidRPr="00CB313C">
              <w:rPr>
                <w:rFonts w:ascii="Calibri" w:eastAsia="Calibri" w:hAnsi="Calibri" w:cs="Times New Roman"/>
                <w:kern w:val="2"/>
                <w:sz w:val="22"/>
                <w:lang w:eastAsia="zh-CN"/>
                <w14:ligatures w14:val="standardContextual"/>
              </w:rPr>
              <w:t>Tsearch</w:t>
            </w:r>
            <w:proofErr w:type="spellEnd"/>
            <w:r w:rsidRPr="00CB313C">
              <w:rPr>
                <w:rFonts w:ascii="Calibri" w:eastAsia="Calibri" w:hAnsi="Calibri" w:cs="Times New Roman"/>
                <w:kern w:val="2"/>
                <w:sz w:val="22"/>
                <w:lang w:eastAsia="zh-CN"/>
                <w14:ligatures w14:val="standardContextual"/>
              </w:rPr>
              <w:t>.</w:t>
            </w:r>
          </w:p>
          <w:p w14:paraId="7A2AC3E1" w14:textId="4AA99851" w:rsidR="00CB313C" w:rsidRPr="00CB313C" w:rsidRDefault="00CB313C" w:rsidP="00317F89">
            <w:pPr>
              <w:spacing w:line="256" w:lineRule="auto"/>
              <w:ind w:left="568" w:hanging="284"/>
              <w:rPr>
                <w:rFonts w:ascii="Calibri" w:eastAsia="Calibri" w:hAnsi="Calibri" w:cs="Times New Roman"/>
                <w:kern w:val="2"/>
                <w:sz w:val="22"/>
                <w:lang w:eastAsia="zh-CN"/>
                <w14:ligatures w14:val="standardContextual"/>
              </w:rPr>
            </w:pPr>
            <w:r w:rsidRPr="00CB313C">
              <w:rPr>
                <w:rFonts w:ascii="Calibri" w:eastAsia="Calibri" w:hAnsi="Calibri" w:cs="Times New Roman"/>
                <w:kern w:val="2"/>
                <w:sz w:val="22"/>
                <w:lang w:eastAsia="zh-CN"/>
                <w14:ligatures w14:val="standardContextual"/>
              </w:rPr>
              <w:t>-</w:t>
            </w:r>
            <w:r w:rsidRPr="00CB313C">
              <w:rPr>
                <w:rFonts w:ascii="Calibri" w:eastAsia="Calibri" w:hAnsi="Calibri" w:cs="Times New Roman"/>
                <w:kern w:val="2"/>
                <w:sz w:val="22"/>
                <w:lang w:eastAsia="zh-CN"/>
                <w14:ligatures w14:val="standardContextual"/>
              </w:rPr>
              <w:tab/>
              <w:t>Option 2: Keep the current</w:t>
            </w:r>
          </w:p>
          <w:p w14:paraId="77E1C386" w14:textId="77777777" w:rsidR="00CB313C" w:rsidRDefault="00CB313C" w:rsidP="00057AB8">
            <w:pPr>
              <w:spacing w:line="256" w:lineRule="auto"/>
              <w:rPr>
                <w:lang w:val="en-US"/>
              </w:rPr>
            </w:pPr>
          </w:p>
        </w:tc>
      </w:tr>
    </w:tbl>
    <w:p w14:paraId="58A256B0" w14:textId="77777777" w:rsidR="0060543D" w:rsidRDefault="0060543D" w:rsidP="0060543D">
      <w:pPr>
        <w:rPr>
          <w:lang w:val="en-US"/>
        </w:rPr>
      </w:pPr>
    </w:p>
    <w:p w14:paraId="5A7805CA" w14:textId="31DF922D" w:rsidR="001A091E" w:rsidRDefault="001A091E" w:rsidP="0060543D">
      <w:pPr>
        <w:rPr>
          <w:lang w:val="en-US"/>
        </w:rPr>
      </w:pPr>
      <w:r>
        <w:rPr>
          <w:lang w:val="en-US"/>
        </w:rPr>
        <w:t xml:space="preserve">Currently the approved big-CR is </w:t>
      </w:r>
      <w:r w:rsidR="00AA2FFA">
        <w:rPr>
          <w:lang w:val="en-US"/>
        </w:rPr>
        <w:t>specifying Handover for &lt; 5MHz as highlighted.</w:t>
      </w:r>
    </w:p>
    <w:tbl>
      <w:tblPr>
        <w:tblStyle w:val="TableGrid"/>
        <w:tblW w:w="0" w:type="auto"/>
        <w:tblLook w:val="04A0" w:firstRow="1" w:lastRow="0" w:firstColumn="1" w:lastColumn="0" w:noHBand="0" w:noVBand="1"/>
      </w:tblPr>
      <w:tblGrid>
        <w:gridCol w:w="9617"/>
      </w:tblGrid>
      <w:tr w:rsidR="00317F89" w14:paraId="618BCF9D" w14:textId="77777777" w:rsidTr="00317F89">
        <w:tc>
          <w:tcPr>
            <w:tcW w:w="9617" w:type="dxa"/>
          </w:tcPr>
          <w:p w14:paraId="6CE8CFC7" w14:textId="77777777" w:rsidR="00317F89" w:rsidRPr="00317F89" w:rsidRDefault="00317F89" w:rsidP="00317F89">
            <w:pPr>
              <w:overflowPunct w:val="0"/>
              <w:autoSpaceDE w:val="0"/>
              <w:autoSpaceDN w:val="0"/>
              <w:adjustRightInd w:val="0"/>
              <w:spacing w:after="180"/>
              <w:textAlignment w:val="baseline"/>
              <w:rPr>
                <w:rFonts w:eastAsia="Times New Roman" w:cs="v4.2.0"/>
                <w:position w:val="-6"/>
                <w:szCs w:val="20"/>
                <w:lang w:eastAsia="en-GB"/>
              </w:rPr>
            </w:pPr>
            <w:r w:rsidRPr="00317F89">
              <w:rPr>
                <w:rFonts w:eastAsia="Times New Roman" w:cs="v4.2.0"/>
                <w:szCs w:val="20"/>
                <w:lang w:eastAsia="en-GB"/>
              </w:rPr>
              <w:t xml:space="preserve">When intra-frequency or inter-frequency handover is commanded, the interruption time shall be less than </w:t>
            </w:r>
            <w:proofErr w:type="gramStart"/>
            <w:r w:rsidRPr="00317F89">
              <w:rPr>
                <w:rFonts w:eastAsia="Times New Roman" w:cs="v4.2.0"/>
                <w:szCs w:val="20"/>
                <w:lang w:eastAsia="en-GB"/>
              </w:rPr>
              <w:t>T</w:t>
            </w:r>
            <w:r w:rsidRPr="00317F89">
              <w:rPr>
                <w:rFonts w:eastAsia="Times New Roman" w:cs="v4.2.0"/>
                <w:szCs w:val="20"/>
                <w:vertAlign w:val="subscript"/>
                <w:lang w:eastAsia="en-GB"/>
              </w:rPr>
              <w:t>interrupt</w:t>
            </w:r>
            <w:proofErr w:type="gramEnd"/>
          </w:p>
          <w:p w14:paraId="3A77FE74" w14:textId="77777777" w:rsidR="00317F89" w:rsidRPr="00317F89" w:rsidRDefault="00317F89" w:rsidP="00317F89">
            <w:pPr>
              <w:keepLines/>
              <w:tabs>
                <w:tab w:val="center" w:pos="4536"/>
                <w:tab w:val="right" w:pos="9072"/>
              </w:tabs>
              <w:overflowPunct w:val="0"/>
              <w:autoSpaceDE w:val="0"/>
              <w:autoSpaceDN w:val="0"/>
              <w:adjustRightInd w:val="0"/>
              <w:spacing w:after="180"/>
              <w:textAlignment w:val="baseline"/>
              <w:rPr>
                <w:rFonts w:eastAsia="Times New Roman" w:cs="Times New Roman"/>
                <w:noProof/>
                <w:szCs w:val="20"/>
                <w:lang w:eastAsia="en-GB"/>
              </w:rPr>
            </w:pPr>
            <w:r w:rsidRPr="00317F89">
              <w:rPr>
                <w:rFonts w:eastAsia="Times New Roman" w:cs="Times New Roman"/>
                <w:noProof/>
                <w:szCs w:val="20"/>
                <w:lang w:eastAsia="en-GB"/>
              </w:rPr>
              <w:tab/>
            </w:r>
            <w:r w:rsidRPr="00317F89">
              <w:rPr>
                <w:rFonts w:eastAsia="Times New Roman" w:cs="v4.2.0"/>
                <w:noProof/>
                <w:szCs w:val="20"/>
                <w:lang w:eastAsia="en-GB"/>
              </w:rPr>
              <w:t>T</w:t>
            </w:r>
            <w:r w:rsidRPr="00317F89">
              <w:rPr>
                <w:rFonts w:eastAsia="Times New Roman" w:cs="v4.2.0"/>
                <w:noProof/>
                <w:szCs w:val="20"/>
                <w:vertAlign w:val="subscript"/>
                <w:lang w:eastAsia="en-GB"/>
              </w:rPr>
              <w:t>interrupt</w:t>
            </w:r>
            <w:r w:rsidRPr="00317F89">
              <w:rPr>
                <w:rFonts w:eastAsia="Times New Roman" w:cs="Times New Roman"/>
                <w:noProof/>
                <w:szCs w:val="20"/>
                <w:lang w:eastAsia="en-GB"/>
              </w:rPr>
              <w:t xml:space="preserve"> = T</w:t>
            </w:r>
            <w:r w:rsidRPr="00317F89">
              <w:rPr>
                <w:rFonts w:eastAsia="Times New Roman" w:cs="Times New Roman"/>
                <w:noProof/>
                <w:szCs w:val="20"/>
                <w:vertAlign w:val="subscript"/>
                <w:lang w:eastAsia="en-GB"/>
              </w:rPr>
              <w:t>search</w:t>
            </w:r>
            <w:r w:rsidRPr="00317F89">
              <w:rPr>
                <w:rFonts w:eastAsia="Times New Roman" w:cs="Times New Roman"/>
                <w:noProof/>
                <w:szCs w:val="20"/>
                <w:lang w:eastAsia="en-GB"/>
              </w:rPr>
              <w:t xml:space="preserve"> + T</w:t>
            </w:r>
            <w:r w:rsidRPr="00317F89">
              <w:rPr>
                <w:rFonts w:eastAsia="Times New Roman" w:cs="Times New Roman"/>
                <w:noProof/>
                <w:szCs w:val="20"/>
                <w:vertAlign w:val="subscript"/>
                <w:lang w:eastAsia="en-GB"/>
              </w:rPr>
              <w:t>IU</w:t>
            </w:r>
            <w:r w:rsidRPr="00317F89">
              <w:rPr>
                <w:rFonts w:eastAsia="Times New Roman" w:cs="Times New Roman"/>
                <w:noProof/>
                <w:szCs w:val="20"/>
                <w:lang w:eastAsia="en-GB"/>
              </w:rPr>
              <w:t xml:space="preserve"> + T</w:t>
            </w:r>
            <w:r w:rsidRPr="00317F89">
              <w:rPr>
                <w:rFonts w:eastAsia="Times New Roman" w:cs="Times New Roman"/>
                <w:noProof/>
                <w:szCs w:val="20"/>
                <w:vertAlign w:val="subscript"/>
                <w:lang w:eastAsia="zh-CN"/>
              </w:rPr>
              <w:t>processing</w:t>
            </w:r>
            <w:r w:rsidRPr="00317F89">
              <w:rPr>
                <w:rFonts w:eastAsia="Times New Roman" w:cs="Times New Roman"/>
                <w:noProof/>
                <w:szCs w:val="20"/>
                <w:lang w:eastAsia="zh-CN"/>
              </w:rPr>
              <w:t xml:space="preserve"> </w:t>
            </w:r>
            <w:r w:rsidRPr="00317F89">
              <w:rPr>
                <w:rFonts w:eastAsia="Times New Roman" w:cs="Times New Roman"/>
                <w:noProof/>
                <w:szCs w:val="20"/>
                <w:vertAlign w:val="subscript"/>
                <w:lang w:eastAsia="zh-CN"/>
              </w:rPr>
              <w:t xml:space="preserve"> </w:t>
            </w:r>
            <w:r w:rsidRPr="00317F89">
              <w:rPr>
                <w:rFonts w:eastAsia="Times New Roman" w:cs="Times New Roman"/>
                <w:noProof/>
                <w:szCs w:val="20"/>
                <w:lang w:eastAsia="zh-CN"/>
              </w:rPr>
              <w:t>+ T</w:t>
            </w:r>
            <w:r w:rsidRPr="00317F89">
              <w:rPr>
                <w:rFonts w:eastAsia="Times New Roman" w:cs="Times New Roman"/>
                <w:noProof/>
                <w:szCs w:val="20"/>
                <w:vertAlign w:val="subscript"/>
                <w:lang w:eastAsia="zh-CN"/>
              </w:rPr>
              <w:t>∆</w:t>
            </w:r>
            <w:r w:rsidRPr="00317F89">
              <w:rPr>
                <w:rFonts w:eastAsia="Times New Roman" w:cs="Times New Roman"/>
                <w:noProof/>
                <w:szCs w:val="20"/>
                <w:lang w:eastAsia="zh-CN"/>
              </w:rPr>
              <w:t xml:space="preserve"> + T</w:t>
            </w:r>
            <w:r w:rsidRPr="00317F89">
              <w:rPr>
                <w:rFonts w:eastAsia="Times New Roman" w:cs="Times New Roman"/>
                <w:noProof/>
                <w:szCs w:val="20"/>
                <w:vertAlign w:val="subscript"/>
                <w:lang w:eastAsia="zh-CN"/>
              </w:rPr>
              <w:t xml:space="preserve">margin </w:t>
            </w:r>
            <w:r w:rsidRPr="00317F89">
              <w:rPr>
                <w:rFonts w:eastAsia="Times New Roman" w:cs="Times New Roman"/>
                <w:noProof/>
                <w:szCs w:val="20"/>
                <w:lang w:eastAsia="en-GB"/>
              </w:rPr>
              <w:t>ms</w:t>
            </w:r>
          </w:p>
          <w:p w14:paraId="2869770B" w14:textId="77777777" w:rsidR="00317F89" w:rsidRPr="00317F89" w:rsidRDefault="00317F89" w:rsidP="00317F89">
            <w:pPr>
              <w:overflowPunct w:val="0"/>
              <w:autoSpaceDE w:val="0"/>
              <w:autoSpaceDN w:val="0"/>
              <w:adjustRightInd w:val="0"/>
              <w:spacing w:after="180"/>
              <w:textAlignment w:val="baseline"/>
              <w:rPr>
                <w:rFonts w:eastAsia="Times New Roman" w:cs="v4.2.0"/>
                <w:szCs w:val="20"/>
                <w:lang w:eastAsia="en-GB"/>
              </w:rPr>
            </w:pPr>
            <w:r w:rsidRPr="00317F89">
              <w:rPr>
                <w:rFonts w:eastAsia="Times New Roman" w:cs="v4.2.0"/>
                <w:szCs w:val="20"/>
                <w:lang w:eastAsia="en-GB"/>
              </w:rPr>
              <w:t>Where:</w:t>
            </w:r>
          </w:p>
          <w:p w14:paraId="71089EBC" w14:textId="77777777" w:rsidR="00317F89" w:rsidRPr="00317F89" w:rsidRDefault="00317F89" w:rsidP="00317F89">
            <w:pPr>
              <w:overflowPunct w:val="0"/>
              <w:autoSpaceDE w:val="0"/>
              <w:autoSpaceDN w:val="0"/>
              <w:adjustRightInd w:val="0"/>
              <w:spacing w:after="180"/>
              <w:ind w:left="568" w:hanging="284"/>
              <w:textAlignment w:val="baseline"/>
              <w:rPr>
                <w:rFonts w:eastAsia="Times New Roman" w:cs="Times New Roman"/>
                <w:szCs w:val="20"/>
                <w:lang w:eastAsia="en-GB"/>
              </w:rPr>
            </w:pPr>
            <w:bookmarkStart w:id="5" w:name="_Hlk156454507"/>
            <w:r w:rsidRPr="00317F89">
              <w:rPr>
                <w:rFonts w:eastAsia="Times New Roman" w:cs="Times New Roman"/>
                <w:szCs w:val="20"/>
                <w:lang w:eastAsia="en-GB"/>
              </w:rPr>
              <w:tab/>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en-GB"/>
              </w:rPr>
              <w:t xml:space="preserve"> is the time required to search the target cell when the target cell is not already known when the handover command is received by the UE. Regardless of whether DRX is in use by the UE,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en-GB"/>
              </w:rPr>
              <w:t xml:space="preserve"> shall still be based on non-DRX target cell search times.</w:t>
            </w:r>
            <w:bookmarkEnd w:id="5"/>
          </w:p>
          <w:p w14:paraId="72BE85E9" w14:textId="77777777" w:rsidR="00317F89" w:rsidRPr="00317F89" w:rsidRDefault="00317F89" w:rsidP="00317F89">
            <w:pPr>
              <w:overflowPunct w:val="0"/>
              <w:autoSpaceDE w:val="0"/>
              <w:autoSpaceDN w:val="0"/>
              <w:adjustRightInd w:val="0"/>
              <w:spacing w:after="180"/>
              <w:ind w:left="568" w:hanging="284"/>
              <w:textAlignment w:val="baseline"/>
              <w:rPr>
                <w:rFonts w:eastAsia="Times New Roman" w:cs="Times New Roman"/>
                <w:szCs w:val="20"/>
                <w:lang w:eastAsia="en-GB"/>
              </w:rPr>
            </w:pPr>
            <w:r w:rsidRPr="00317F89">
              <w:rPr>
                <w:rFonts w:eastAsia="Times New Roman" w:cs="Times New Roman"/>
                <w:szCs w:val="20"/>
                <w:lang w:eastAsia="en-GB"/>
              </w:rPr>
              <w:t>Editor’s Note: P1 is to be updated based on simulation results.</w:t>
            </w:r>
          </w:p>
          <w:p w14:paraId="12241FFA" w14:textId="77777777" w:rsidR="00317F89" w:rsidRPr="00317F89" w:rsidRDefault="00317F89" w:rsidP="00317F89">
            <w:pPr>
              <w:overflowPunct w:val="0"/>
              <w:autoSpaceDE w:val="0"/>
              <w:autoSpaceDN w:val="0"/>
              <w:adjustRightInd w:val="0"/>
              <w:spacing w:after="180"/>
              <w:ind w:left="568"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t xml:space="preserve">If the target cell is a known intra-frequency cell, then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en-GB"/>
              </w:rPr>
              <w:t xml:space="preserve"> = 0ms.</w:t>
            </w:r>
          </w:p>
          <w:p w14:paraId="0EEB75B1" w14:textId="77777777" w:rsidR="00317F89" w:rsidRPr="00317F89" w:rsidRDefault="00317F89" w:rsidP="00317F89">
            <w:pPr>
              <w:overflowPunct w:val="0"/>
              <w:autoSpaceDE w:val="0"/>
              <w:autoSpaceDN w:val="0"/>
              <w:adjustRightInd w:val="0"/>
              <w:spacing w:after="180"/>
              <w:ind w:left="568" w:hanging="284"/>
              <w:textAlignment w:val="baseline"/>
              <w:rPr>
                <w:rFonts w:eastAsia="Times New Roman" w:cs="Times New Roman"/>
                <w:szCs w:val="20"/>
                <w:lang w:eastAsia="en-GB"/>
              </w:rPr>
            </w:pPr>
            <w:bookmarkStart w:id="6" w:name="_Hlk146226833"/>
            <w:r w:rsidRPr="00317F89">
              <w:rPr>
                <w:rFonts w:eastAsia="Times New Roman" w:cs="Times New Roman"/>
                <w:szCs w:val="20"/>
                <w:highlight w:val="yellow"/>
                <w:lang w:eastAsia="en-GB"/>
              </w:rPr>
              <w:t>-</w:t>
            </w:r>
            <w:r w:rsidRPr="00317F89">
              <w:rPr>
                <w:rFonts w:eastAsia="Times New Roman" w:cs="Times New Roman"/>
                <w:szCs w:val="20"/>
                <w:highlight w:val="yellow"/>
                <w:lang w:eastAsia="en-GB"/>
              </w:rPr>
              <w:tab/>
              <w:t xml:space="preserve">If the target cell is an unknown intra-frequency cell operating with 12 PRB SSB bandwidth, then </w:t>
            </w:r>
            <w:proofErr w:type="spellStart"/>
            <w:r w:rsidRPr="00317F89">
              <w:rPr>
                <w:rFonts w:eastAsia="Times New Roman" w:cs="Times New Roman"/>
                <w:szCs w:val="20"/>
                <w:highlight w:val="yellow"/>
                <w:lang w:eastAsia="en-GB"/>
              </w:rPr>
              <w:t>T</w:t>
            </w:r>
            <w:r w:rsidRPr="00317F89">
              <w:rPr>
                <w:rFonts w:eastAsia="Times New Roman" w:cs="Times New Roman"/>
                <w:szCs w:val="20"/>
                <w:highlight w:val="yellow"/>
                <w:vertAlign w:val="subscript"/>
                <w:lang w:eastAsia="en-GB"/>
              </w:rPr>
              <w:t>search</w:t>
            </w:r>
            <w:proofErr w:type="spellEnd"/>
            <w:r w:rsidRPr="00317F89">
              <w:rPr>
                <w:rFonts w:eastAsia="Times New Roman" w:cs="Times New Roman"/>
                <w:szCs w:val="20"/>
                <w:highlight w:val="yellow"/>
                <w:lang w:eastAsia="en-GB"/>
              </w:rPr>
              <w:t xml:space="preserve"> = [</w:t>
            </w:r>
            <w:proofErr w:type="gramStart"/>
            <w:r w:rsidRPr="00317F89">
              <w:rPr>
                <w:rFonts w:eastAsia="Times New Roman" w:cs="Times New Roman"/>
                <w:szCs w:val="20"/>
                <w:highlight w:val="yellow"/>
                <w:lang w:eastAsia="en-GB"/>
              </w:rPr>
              <w:t>3]*</w:t>
            </w:r>
            <w:proofErr w:type="spellStart"/>
            <w:proofErr w:type="gramEnd"/>
            <w:r w:rsidRPr="00317F89">
              <w:rPr>
                <w:rFonts w:eastAsia="Times New Roman" w:cs="Times New Roman"/>
                <w:szCs w:val="20"/>
                <w:highlight w:val="yellow"/>
                <w:lang w:eastAsia="en-GB"/>
              </w:rPr>
              <w:t>T</w:t>
            </w:r>
            <w:r w:rsidRPr="00317F89">
              <w:rPr>
                <w:rFonts w:eastAsia="Times New Roman" w:cs="Times New Roman"/>
                <w:szCs w:val="20"/>
                <w:highlight w:val="yellow"/>
                <w:vertAlign w:val="subscript"/>
                <w:lang w:eastAsia="en-GB"/>
              </w:rPr>
              <w:t>rs</w:t>
            </w:r>
            <w:proofErr w:type="spellEnd"/>
            <w:r w:rsidRPr="00317F89">
              <w:rPr>
                <w:rFonts w:eastAsia="Times New Roman" w:cs="Times New Roman"/>
                <w:szCs w:val="20"/>
                <w:highlight w:val="yellow"/>
                <w:lang w:eastAsia="en-GB"/>
              </w:rPr>
              <w:t xml:space="preserve"> </w:t>
            </w:r>
            <w:proofErr w:type="spellStart"/>
            <w:r w:rsidRPr="00317F89">
              <w:rPr>
                <w:rFonts w:eastAsia="Times New Roman" w:cs="Times New Roman"/>
                <w:szCs w:val="20"/>
                <w:highlight w:val="yellow"/>
                <w:lang w:eastAsia="en-GB"/>
              </w:rPr>
              <w:t>ms</w:t>
            </w:r>
            <w:proofErr w:type="spellEnd"/>
            <w:r w:rsidRPr="00317F89">
              <w:rPr>
                <w:rFonts w:eastAsia="Times New Roman" w:cs="Times New Roman"/>
                <w:szCs w:val="20"/>
                <w:highlight w:val="yellow"/>
                <w:lang w:eastAsia="en-GB"/>
              </w:rPr>
              <w:t>.</w:t>
            </w:r>
          </w:p>
          <w:p w14:paraId="7A0EBFCB" w14:textId="77777777" w:rsidR="00317F89" w:rsidRPr="00317F89" w:rsidRDefault="00317F89" w:rsidP="00317F89">
            <w:pPr>
              <w:overflowPunct w:val="0"/>
              <w:autoSpaceDE w:val="0"/>
              <w:autoSpaceDN w:val="0"/>
              <w:adjustRightInd w:val="0"/>
              <w:spacing w:after="180"/>
              <w:ind w:left="568"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r>
            <w:bookmarkEnd w:id="6"/>
            <w:r w:rsidRPr="00317F89">
              <w:rPr>
                <w:rFonts w:eastAsia="Times New Roman" w:cs="Times New Roman"/>
                <w:szCs w:val="20"/>
                <w:lang w:eastAsia="en-GB"/>
              </w:rPr>
              <w:t xml:space="preserve">If the target cell is a known inter-frequency cell, then </w:t>
            </w:r>
          </w:p>
          <w:p w14:paraId="22E0CD4D" w14:textId="77777777" w:rsidR="00317F89" w:rsidRPr="00317F89" w:rsidRDefault="00317F89" w:rsidP="00317F89">
            <w:pPr>
              <w:overflowPunct w:val="0"/>
              <w:autoSpaceDE w:val="0"/>
              <w:autoSpaceDN w:val="0"/>
              <w:adjustRightInd w:val="0"/>
              <w:spacing w:after="180"/>
              <w:ind w:left="851"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t xml:space="preserve">if the measured SSB is the target SSB for handover of the target cell,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en-GB"/>
              </w:rPr>
              <w:t xml:space="preserve"> = </w:t>
            </w:r>
            <w:proofErr w:type="gramStart"/>
            <w:r w:rsidRPr="00317F89">
              <w:rPr>
                <w:rFonts w:eastAsia="Times New Roman" w:cs="Times New Roman"/>
                <w:szCs w:val="20"/>
                <w:lang w:eastAsia="en-GB"/>
              </w:rPr>
              <w:t>0ms;</w:t>
            </w:r>
            <w:proofErr w:type="gramEnd"/>
            <w:r w:rsidRPr="00317F89">
              <w:rPr>
                <w:rFonts w:eastAsia="Times New Roman" w:cs="Times New Roman"/>
                <w:szCs w:val="20"/>
                <w:lang w:eastAsia="en-GB"/>
              </w:rPr>
              <w:t xml:space="preserve"> </w:t>
            </w:r>
          </w:p>
          <w:p w14:paraId="2530D4DF" w14:textId="77777777" w:rsidR="00317F89" w:rsidRPr="00317F89" w:rsidRDefault="00317F89" w:rsidP="00317F89">
            <w:pPr>
              <w:overflowPunct w:val="0"/>
              <w:autoSpaceDE w:val="0"/>
              <w:autoSpaceDN w:val="0"/>
              <w:adjustRightInd w:val="0"/>
              <w:spacing w:after="180"/>
              <w:ind w:left="851"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t xml:space="preserve">if the measured SSB and the target SSB for handover </w:t>
            </w:r>
            <w:r w:rsidRPr="00317F89">
              <w:rPr>
                <w:rFonts w:eastAsia="Times New Roman" w:cs="Times New Roman"/>
                <w:szCs w:val="20"/>
                <w:lang w:eastAsia="ko-KR"/>
              </w:rPr>
              <w:t xml:space="preserve">belong to the same NR target cell and </w:t>
            </w:r>
            <w:r w:rsidRPr="00317F89">
              <w:rPr>
                <w:rFonts w:eastAsia="Times New Roman" w:cs="Times New Roman"/>
                <w:szCs w:val="20"/>
                <w:lang w:eastAsia="en-GB"/>
              </w:rPr>
              <w:t xml:space="preserve">if the UE supports </w:t>
            </w:r>
            <w:r w:rsidRPr="00317F89">
              <w:rPr>
                <w:rFonts w:eastAsia="Times New Roman" w:cs="Times New Roman"/>
                <w:i/>
                <w:iCs/>
                <w:szCs w:val="20"/>
                <w:lang w:val="en-US" w:eastAsia="zh-CN"/>
              </w:rPr>
              <w:t>[UE capability IE for FG 53-3]</w:t>
            </w:r>
            <w:r w:rsidRPr="00317F89">
              <w:rPr>
                <w:rFonts w:eastAsia="Times New Roman" w:cs="Times New Roman"/>
                <w:szCs w:val="20"/>
                <w:lang w:eastAsia="en-GB"/>
              </w:rPr>
              <w:t xml:space="preserve">,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zh-CN"/>
              </w:rPr>
              <w:t xml:space="preserve"> =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rs</w:t>
            </w:r>
            <w:proofErr w:type="spellEnd"/>
            <w:r w:rsidRPr="00317F89">
              <w:rPr>
                <w:rFonts w:eastAsia="Times New Roman" w:cs="Times New Roman"/>
                <w:szCs w:val="20"/>
                <w:lang w:eastAsia="en-GB"/>
              </w:rPr>
              <w:t xml:space="preserve"> </w:t>
            </w:r>
            <w:proofErr w:type="spellStart"/>
            <w:r w:rsidRPr="00317F89">
              <w:rPr>
                <w:rFonts w:eastAsia="Times New Roman" w:cs="Times New Roman"/>
                <w:szCs w:val="20"/>
                <w:lang w:eastAsia="en-GB"/>
              </w:rPr>
              <w:t>ms</w:t>
            </w:r>
            <w:proofErr w:type="spellEnd"/>
            <w:r w:rsidRPr="00317F89">
              <w:rPr>
                <w:rFonts w:eastAsia="Times New Roman" w:cs="Times New Roman"/>
                <w:szCs w:val="20"/>
                <w:lang w:eastAsia="en-GB"/>
              </w:rPr>
              <w:t xml:space="preserve"> provided any one of the following conditions is satisfied:</w:t>
            </w:r>
          </w:p>
          <w:p w14:paraId="5D6336F1" w14:textId="77777777" w:rsidR="00317F89" w:rsidRPr="00317F89" w:rsidRDefault="00317F89" w:rsidP="00317F89">
            <w:pPr>
              <w:overflowPunct w:val="0"/>
              <w:autoSpaceDE w:val="0"/>
              <w:autoSpaceDN w:val="0"/>
              <w:adjustRightInd w:val="0"/>
              <w:spacing w:after="180"/>
              <w:ind w:left="1135"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t>CD-SSB in initial DL BWP is the measured SSB and NCD-SSB in first active DL BWP is the target SSB for handover</w:t>
            </w:r>
          </w:p>
          <w:p w14:paraId="423FA3C7" w14:textId="77777777" w:rsidR="00317F89" w:rsidRPr="00317F89" w:rsidRDefault="00317F89" w:rsidP="00317F89">
            <w:pPr>
              <w:overflowPunct w:val="0"/>
              <w:autoSpaceDE w:val="0"/>
              <w:autoSpaceDN w:val="0"/>
              <w:adjustRightInd w:val="0"/>
              <w:spacing w:after="180"/>
              <w:ind w:left="1135" w:hanging="284"/>
              <w:textAlignment w:val="baseline"/>
              <w:rPr>
                <w:rFonts w:eastAsia="Times New Roman" w:cs="Times New Roman"/>
                <w:szCs w:val="20"/>
                <w:lang w:eastAsia="en-GB"/>
              </w:rPr>
            </w:pPr>
            <w:r w:rsidRPr="00317F89">
              <w:rPr>
                <w:rFonts w:eastAsia="Times New Roman" w:cs="Times New Roman"/>
                <w:szCs w:val="20"/>
                <w:lang w:eastAsia="en-GB"/>
              </w:rPr>
              <w:lastRenderedPageBreak/>
              <w:t>-</w:t>
            </w:r>
            <w:r w:rsidRPr="00317F89">
              <w:rPr>
                <w:rFonts w:eastAsia="Times New Roman" w:cs="Times New Roman"/>
                <w:szCs w:val="20"/>
                <w:lang w:eastAsia="en-GB"/>
              </w:rPr>
              <w:tab/>
              <w:t>NCD-SSB in a DL BWP is the measured SSB and CD-SSB in initial DL BWP is the target SSB for handover</w:t>
            </w:r>
          </w:p>
          <w:p w14:paraId="1E7AD62C" w14:textId="77777777" w:rsidR="00317F89" w:rsidRPr="00317F89" w:rsidRDefault="00317F89" w:rsidP="00317F89">
            <w:pPr>
              <w:overflowPunct w:val="0"/>
              <w:autoSpaceDE w:val="0"/>
              <w:autoSpaceDN w:val="0"/>
              <w:adjustRightInd w:val="0"/>
              <w:spacing w:after="180"/>
              <w:ind w:left="851" w:hanging="284"/>
              <w:textAlignment w:val="baseline"/>
              <w:rPr>
                <w:rFonts w:eastAsia="Times New Roman" w:cs="Times New Roman"/>
                <w:szCs w:val="20"/>
                <w:lang w:eastAsia="en-GB"/>
              </w:rPr>
            </w:pPr>
            <w:r w:rsidRPr="00317F89">
              <w:rPr>
                <w:rFonts w:eastAsia="Times New Roman" w:cs="Times New Roman"/>
                <w:szCs w:val="20"/>
                <w:lang w:eastAsia="en-GB"/>
              </w:rPr>
              <w:t>-</w:t>
            </w:r>
            <w:r w:rsidRPr="00317F89">
              <w:rPr>
                <w:rFonts w:eastAsia="Times New Roman" w:cs="Times New Roman"/>
                <w:szCs w:val="20"/>
                <w:lang w:eastAsia="en-GB"/>
              </w:rPr>
              <w:tab/>
              <w:t>Both measured SSB and the target SSB for handover are NCD-SSB within different DL BWPs</w:t>
            </w:r>
          </w:p>
          <w:p w14:paraId="18C96D7D" w14:textId="77777777" w:rsidR="00317F89" w:rsidRPr="00317F89" w:rsidRDefault="00317F89" w:rsidP="003930E3">
            <w:pPr>
              <w:overflowPunct w:val="0"/>
              <w:autoSpaceDE w:val="0"/>
              <w:autoSpaceDN w:val="0"/>
              <w:adjustRightInd w:val="0"/>
              <w:spacing w:after="180"/>
              <w:ind w:left="568" w:hanging="284"/>
              <w:textAlignment w:val="baseline"/>
              <w:rPr>
                <w:rFonts w:eastAsia="Times New Roman" w:cs="Times New Roman"/>
                <w:szCs w:val="20"/>
                <w:lang w:eastAsia="en-GB"/>
              </w:rPr>
            </w:pPr>
            <w:r w:rsidRPr="00317F89">
              <w:rPr>
                <w:rFonts w:eastAsia="Times New Roman" w:cs="Times New Roman"/>
                <w:szCs w:val="20"/>
                <w:highlight w:val="yellow"/>
                <w:lang w:eastAsia="en-GB"/>
              </w:rPr>
              <w:t>-</w:t>
            </w:r>
            <w:r w:rsidRPr="00317F89">
              <w:rPr>
                <w:rFonts w:eastAsia="Times New Roman" w:cs="Times New Roman"/>
                <w:szCs w:val="20"/>
                <w:highlight w:val="yellow"/>
                <w:lang w:eastAsia="en-GB"/>
              </w:rPr>
              <w:tab/>
              <w:t xml:space="preserve">If the target cell is an unknown inter-frequency cell operating with 12 PRB SSB bandwidth, then </w:t>
            </w:r>
            <w:proofErr w:type="spellStart"/>
            <w:r w:rsidRPr="00317F89">
              <w:rPr>
                <w:rFonts w:eastAsia="Times New Roman" w:cs="Times New Roman"/>
                <w:szCs w:val="20"/>
                <w:highlight w:val="yellow"/>
                <w:lang w:eastAsia="en-GB"/>
              </w:rPr>
              <w:t>T</w:t>
            </w:r>
            <w:r w:rsidRPr="00317F89">
              <w:rPr>
                <w:rFonts w:eastAsia="Times New Roman" w:cs="Times New Roman"/>
                <w:szCs w:val="20"/>
                <w:highlight w:val="yellow"/>
                <w:vertAlign w:val="subscript"/>
                <w:lang w:eastAsia="en-GB"/>
              </w:rPr>
              <w:t>search</w:t>
            </w:r>
            <w:proofErr w:type="spellEnd"/>
            <w:r w:rsidRPr="00317F89">
              <w:rPr>
                <w:rFonts w:eastAsia="Times New Roman" w:cs="Times New Roman"/>
                <w:szCs w:val="20"/>
                <w:highlight w:val="yellow"/>
                <w:lang w:eastAsia="en-GB"/>
              </w:rPr>
              <w:t xml:space="preserve"> = [5] *</w:t>
            </w:r>
            <w:proofErr w:type="spellStart"/>
            <w:r w:rsidRPr="00317F89">
              <w:rPr>
                <w:rFonts w:eastAsia="Times New Roman" w:cs="Times New Roman"/>
                <w:szCs w:val="20"/>
                <w:highlight w:val="yellow"/>
                <w:lang w:eastAsia="en-GB"/>
              </w:rPr>
              <w:t>T</w:t>
            </w:r>
            <w:r w:rsidRPr="00317F89">
              <w:rPr>
                <w:rFonts w:eastAsia="Times New Roman" w:cs="Times New Roman"/>
                <w:szCs w:val="20"/>
                <w:highlight w:val="yellow"/>
                <w:vertAlign w:val="subscript"/>
                <w:lang w:eastAsia="en-GB"/>
              </w:rPr>
              <w:t>rs</w:t>
            </w:r>
            <w:proofErr w:type="spellEnd"/>
            <w:r w:rsidRPr="00317F89">
              <w:rPr>
                <w:rFonts w:eastAsia="Times New Roman" w:cs="Times New Roman"/>
                <w:szCs w:val="20"/>
                <w:highlight w:val="yellow"/>
                <w:lang w:eastAsia="en-GB"/>
              </w:rPr>
              <w:t xml:space="preserve"> </w:t>
            </w:r>
            <w:proofErr w:type="spellStart"/>
            <w:r w:rsidRPr="00317F89">
              <w:rPr>
                <w:rFonts w:eastAsia="Times New Roman" w:cs="Times New Roman"/>
                <w:szCs w:val="20"/>
                <w:highlight w:val="yellow"/>
                <w:lang w:eastAsia="en-GB"/>
              </w:rPr>
              <w:t>ms</w:t>
            </w:r>
            <w:proofErr w:type="spellEnd"/>
            <w:r w:rsidRPr="00317F89">
              <w:rPr>
                <w:rFonts w:eastAsia="Times New Roman" w:cs="Times New Roman"/>
                <w:szCs w:val="20"/>
                <w:highlight w:val="yellow"/>
                <w:lang w:eastAsia="en-GB"/>
              </w:rPr>
              <w:t>.</w:t>
            </w:r>
          </w:p>
          <w:p w14:paraId="027A0831" w14:textId="77777777" w:rsidR="00317F89" w:rsidRPr="00317F89" w:rsidRDefault="00317F89" w:rsidP="00317F89">
            <w:pPr>
              <w:overflowPunct w:val="0"/>
              <w:autoSpaceDE w:val="0"/>
              <w:autoSpaceDN w:val="0"/>
              <w:adjustRightInd w:val="0"/>
              <w:spacing w:after="180"/>
              <w:textAlignment w:val="baseline"/>
              <w:rPr>
                <w:rFonts w:eastAsia="Times New Roman" w:cs="Times New Roman"/>
                <w:szCs w:val="20"/>
                <w:lang w:eastAsia="en-GB"/>
              </w:rPr>
            </w:pPr>
            <w:r w:rsidRPr="00317F89">
              <w:rPr>
                <w:rFonts w:eastAsia="Times New Roman" w:cs="Times New Roman"/>
                <w:szCs w:val="20"/>
                <w:lang w:eastAsia="en-GB"/>
              </w:rPr>
              <w:tab/>
              <w:t>-</w:t>
            </w:r>
            <w:r w:rsidRPr="00317F89">
              <w:rPr>
                <w:rFonts w:eastAsia="Times New Roman" w:cs="Times New Roman"/>
                <w:szCs w:val="20"/>
                <w:lang w:eastAsia="en-GB"/>
              </w:rPr>
              <w:tab/>
              <w:t xml:space="preserve">If the target cell is an unknown inter-frequency cell and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search</w:t>
            </w:r>
            <w:proofErr w:type="spellEnd"/>
            <w:r w:rsidRPr="00317F89">
              <w:rPr>
                <w:rFonts w:eastAsia="Times New Roman" w:cs="Times New Roman"/>
                <w:szCs w:val="20"/>
                <w:lang w:eastAsia="en-GB"/>
              </w:rPr>
              <w:t xml:space="preserve"> = 3* </w:t>
            </w:r>
            <w:proofErr w:type="spellStart"/>
            <w:r w:rsidRPr="00317F89">
              <w:rPr>
                <w:rFonts w:eastAsia="Times New Roman" w:cs="Times New Roman"/>
                <w:szCs w:val="20"/>
                <w:lang w:eastAsia="en-GB"/>
              </w:rPr>
              <w:t>T</w:t>
            </w:r>
            <w:r w:rsidRPr="00317F89">
              <w:rPr>
                <w:rFonts w:eastAsia="Times New Roman" w:cs="Times New Roman"/>
                <w:szCs w:val="20"/>
                <w:vertAlign w:val="subscript"/>
                <w:lang w:eastAsia="en-GB"/>
              </w:rPr>
              <w:t>rs</w:t>
            </w:r>
            <w:proofErr w:type="spellEnd"/>
            <w:r w:rsidRPr="00317F89">
              <w:rPr>
                <w:rFonts w:eastAsia="Times New Roman" w:cs="Times New Roman"/>
                <w:szCs w:val="20"/>
                <w:lang w:eastAsia="en-GB"/>
              </w:rPr>
              <w:t xml:space="preserve"> </w:t>
            </w:r>
            <w:proofErr w:type="spellStart"/>
            <w:r w:rsidRPr="00317F89">
              <w:rPr>
                <w:rFonts w:eastAsia="Times New Roman" w:cs="Times New Roman"/>
                <w:szCs w:val="20"/>
                <w:lang w:eastAsia="en-GB"/>
              </w:rPr>
              <w:t>ms</w:t>
            </w:r>
            <w:proofErr w:type="spellEnd"/>
            <w:r w:rsidRPr="00317F89">
              <w:rPr>
                <w:rFonts w:eastAsia="Times New Roman" w:cs="Times New Roman"/>
                <w:szCs w:val="20"/>
                <w:lang w:eastAsia="en-GB"/>
              </w:rPr>
              <w:t xml:space="preserve"> if the target cell Es/</w:t>
            </w:r>
            <w:proofErr w:type="spellStart"/>
            <w:r w:rsidRPr="00317F89">
              <w:rPr>
                <w:rFonts w:eastAsia="Times New Roman" w:cs="Times New Roman"/>
                <w:szCs w:val="20"/>
                <w:lang w:eastAsia="en-GB"/>
              </w:rPr>
              <w:t>Iot</w:t>
            </w:r>
            <w:proofErr w:type="spellEnd"/>
            <w:r w:rsidRPr="00317F89">
              <w:rPr>
                <w:rFonts w:eastAsia="Times New Roman" w:cs="Times New Roman"/>
                <w:szCs w:val="20"/>
                <w:lang w:val="en-US" w:eastAsia="en-GB"/>
              </w:rPr>
              <w:t>≥</w:t>
            </w:r>
            <w:r w:rsidRPr="00317F89">
              <w:rPr>
                <w:rFonts w:eastAsia="Times New Roman" w:cs="Times New Roman"/>
                <w:szCs w:val="20"/>
                <w:lang w:eastAsia="en-GB"/>
              </w:rPr>
              <w:t xml:space="preserve">-2 </w:t>
            </w:r>
            <w:proofErr w:type="spellStart"/>
            <w:r w:rsidRPr="00317F89">
              <w:rPr>
                <w:rFonts w:eastAsia="Times New Roman" w:cs="Times New Roman"/>
                <w:szCs w:val="20"/>
                <w:lang w:eastAsia="en-GB"/>
              </w:rPr>
              <w:t>dB.</w:t>
            </w:r>
            <w:proofErr w:type="spellEnd"/>
          </w:p>
          <w:p w14:paraId="05852FEA" w14:textId="77777777" w:rsidR="00317F89" w:rsidRDefault="00317F89" w:rsidP="0060543D">
            <w:pPr>
              <w:rPr>
                <w:lang w:val="en-US"/>
              </w:rPr>
            </w:pPr>
          </w:p>
        </w:tc>
      </w:tr>
    </w:tbl>
    <w:p w14:paraId="61115574" w14:textId="77777777" w:rsidR="00317F89" w:rsidRDefault="00317F89" w:rsidP="0060543D">
      <w:pPr>
        <w:rPr>
          <w:lang w:val="en-US"/>
        </w:rPr>
      </w:pPr>
    </w:p>
    <w:p w14:paraId="4BC090AA" w14:textId="77777777" w:rsidR="005009C6" w:rsidRDefault="00616997" w:rsidP="0080794F">
      <w:pPr>
        <w:rPr>
          <w:lang w:val="en-US"/>
        </w:rPr>
      </w:pPr>
      <w:r w:rsidRPr="00AC5DFC">
        <w:rPr>
          <w:lang w:val="en-US"/>
        </w:rPr>
        <w:t xml:space="preserve">In the last meeting, there was a discussion whether to allow additional time for SIB and MIB reading as part of </w:t>
      </w:r>
      <w:proofErr w:type="spellStart"/>
      <w:r w:rsidRPr="00AC5DFC">
        <w:rPr>
          <w:lang w:val="en-US"/>
        </w:rPr>
        <w:t>T</w:t>
      </w:r>
      <w:r w:rsidRPr="00AC5DFC">
        <w:rPr>
          <w:vertAlign w:val="subscript"/>
          <w:lang w:val="en-US"/>
        </w:rPr>
        <w:t>search</w:t>
      </w:r>
      <w:proofErr w:type="spellEnd"/>
      <w:r w:rsidRPr="00AC5DFC">
        <w:rPr>
          <w:vertAlign w:val="subscript"/>
          <w:lang w:val="en-US"/>
        </w:rPr>
        <w:t xml:space="preserve"> </w:t>
      </w:r>
      <w:r w:rsidRPr="00AC5DFC">
        <w:rPr>
          <w:lang w:val="en-US"/>
        </w:rPr>
        <w:t>component in handover requirements</w:t>
      </w:r>
      <w:r w:rsidR="00CF555F">
        <w:rPr>
          <w:lang w:val="en-US"/>
        </w:rPr>
        <w:t xml:space="preserve">, or whether to include this additional time in the </w:t>
      </w:r>
      <w:r w:rsidR="00CF555F" w:rsidRPr="00AC5DFC">
        <w:rPr>
          <w:lang w:val="en-US"/>
        </w:rPr>
        <w:t>T∆</w:t>
      </w:r>
      <w:r w:rsidR="005009C6">
        <w:rPr>
          <w:lang w:val="en-US"/>
        </w:rPr>
        <w:t xml:space="preserve">. The reason being that it is not mandatory </w:t>
      </w:r>
      <w:r w:rsidR="00526EE5">
        <w:rPr>
          <w:lang w:val="en-US"/>
        </w:rPr>
        <w:t xml:space="preserve">to read SIB / MIB during </w:t>
      </w:r>
      <w:proofErr w:type="spellStart"/>
      <w:r w:rsidR="00526EE5">
        <w:rPr>
          <w:lang w:val="en-US"/>
        </w:rPr>
        <w:t>T</w:t>
      </w:r>
      <w:r w:rsidR="005009C6">
        <w:rPr>
          <w:lang w:val="en-US"/>
        </w:rPr>
        <w:t>search</w:t>
      </w:r>
      <w:proofErr w:type="spellEnd"/>
      <w:r w:rsidR="005009C6">
        <w:rPr>
          <w:lang w:val="en-US"/>
        </w:rPr>
        <w:t xml:space="preserve">. </w:t>
      </w:r>
    </w:p>
    <w:p w14:paraId="4DB63E9B" w14:textId="48BD0B97" w:rsidR="00E8623D" w:rsidRDefault="00CF555F" w:rsidP="0080794F">
      <w:pPr>
        <w:rPr>
          <w:lang w:val="en-US"/>
        </w:rPr>
      </w:pPr>
      <w:r>
        <w:rPr>
          <w:lang w:val="en-US"/>
        </w:rPr>
        <w:t xml:space="preserve">RAN4 has following agreed that the support is only for unknown case. As </w:t>
      </w:r>
      <w:proofErr w:type="spellStart"/>
      <w:r w:rsidR="002C0311">
        <w:rPr>
          <w:lang w:val="en-US"/>
        </w:rPr>
        <w:t>Tsearch</w:t>
      </w:r>
      <w:proofErr w:type="spellEnd"/>
      <w:r w:rsidR="002C0311">
        <w:rPr>
          <w:lang w:val="en-US"/>
        </w:rPr>
        <w:t xml:space="preserve"> is only supported on </w:t>
      </w:r>
      <w:proofErr w:type="spellStart"/>
      <w:r w:rsidR="002C0311">
        <w:rPr>
          <w:lang w:val="en-US"/>
        </w:rPr>
        <w:t>unkwon</w:t>
      </w:r>
      <w:proofErr w:type="spellEnd"/>
      <w:r w:rsidR="002C0311">
        <w:rPr>
          <w:lang w:val="en-US"/>
        </w:rPr>
        <w:t xml:space="preserve"> case, and </w:t>
      </w:r>
      <w:r w:rsidRPr="00AC5DFC">
        <w:rPr>
          <w:lang w:val="en-US"/>
        </w:rPr>
        <w:t>T∆</w:t>
      </w:r>
      <w:r>
        <w:rPr>
          <w:lang w:val="en-US"/>
        </w:rPr>
        <w:t xml:space="preserve"> supports both </w:t>
      </w:r>
      <w:r w:rsidR="00E40BAD">
        <w:rPr>
          <w:lang w:val="en-US"/>
        </w:rPr>
        <w:t xml:space="preserve">known, and unknown, RAN4 should </w:t>
      </w:r>
      <w:r w:rsidR="002C0311">
        <w:rPr>
          <w:lang w:val="en-US"/>
        </w:rPr>
        <w:t xml:space="preserve">discuss if time is added to the known case also. </w:t>
      </w:r>
    </w:p>
    <w:p w14:paraId="78094C05" w14:textId="0635733E" w:rsidR="00732725" w:rsidRDefault="00732725" w:rsidP="0080794F">
      <w:pPr>
        <w:rPr>
          <w:lang w:val="en-US"/>
        </w:rPr>
      </w:pPr>
      <w:r>
        <w:rPr>
          <w:lang w:val="en-US"/>
        </w:rPr>
        <w:t>If both options are added, the text proposal would look</w:t>
      </w:r>
      <w:r w:rsidR="000612DD">
        <w:rPr>
          <w:lang w:val="en-US"/>
        </w:rPr>
        <w:t xml:space="preserve"> as follows: </w:t>
      </w:r>
    </w:p>
    <w:tbl>
      <w:tblPr>
        <w:tblStyle w:val="TableGrid"/>
        <w:tblW w:w="0" w:type="auto"/>
        <w:tblLook w:val="04A0" w:firstRow="1" w:lastRow="0" w:firstColumn="1" w:lastColumn="0" w:noHBand="0" w:noVBand="1"/>
      </w:tblPr>
      <w:tblGrid>
        <w:gridCol w:w="9617"/>
      </w:tblGrid>
      <w:tr w:rsidR="00943B5A" w14:paraId="26AA3DD8" w14:textId="77777777" w:rsidTr="00943B5A">
        <w:tc>
          <w:tcPr>
            <w:tcW w:w="9617" w:type="dxa"/>
          </w:tcPr>
          <w:p w14:paraId="6C134369" w14:textId="77777777" w:rsidR="00943B5A" w:rsidRDefault="00943B5A" w:rsidP="00943B5A">
            <w:pPr>
              <w:pStyle w:val="B1"/>
            </w:pPr>
            <w:r>
              <w:tab/>
              <w:t>T</w:t>
            </w:r>
            <w:r>
              <w:rPr>
                <w:vertAlign w:val="subscript"/>
              </w:rPr>
              <w:t>∆</w:t>
            </w:r>
            <w:r>
              <w:t xml:space="preserve"> is time for fine time tracking and acquiring full timing information of the target cell. </w:t>
            </w:r>
          </w:p>
          <w:p w14:paraId="2CC16FE2" w14:textId="77777777" w:rsidR="00732725" w:rsidRPr="006E50B1" w:rsidRDefault="00732725" w:rsidP="00732725">
            <w:pPr>
              <w:overflowPunct w:val="0"/>
              <w:autoSpaceDE w:val="0"/>
              <w:autoSpaceDN w:val="0"/>
              <w:adjustRightInd w:val="0"/>
              <w:ind w:left="568" w:hanging="284"/>
              <w:textAlignment w:val="baseline"/>
              <w:rPr>
                <w:lang w:eastAsia="en-GB"/>
              </w:rPr>
            </w:pPr>
            <w:r w:rsidRPr="006A7F97">
              <w:rPr>
                <w:lang w:eastAsia="en-GB"/>
              </w:rPr>
              <w:tab/>
            </w:r>
            <w:r>
              <w:rPr>
                <w:lang w:eastAsia="en-GB"/>
              </w:rPr>
              <w:t xml:space="preserve"> </w:t>
            </w:r>
            <w:r w:rsidRPr="006A7F97">
              <w:rPr>
                <w:lang w:eastAsia="en-GB"/>
              </w:rPr>
              <w:t>-</w:t>
            </w:r>
            <w:r w:rsidRPr="006A7F97">
              <w:rPr>
                <w:lang w:eastAsia="en-GB"/>
              </w:rPr>
              <w:tab/>
            </w:r>
            <w:r w:rsidRPr="00295098">
              <w:rPr>
                <w:lang w:eastAsia="en-GB"/>
              </w:rPr>
              <w:t xml:space="preserve">If the target cell is an </w:t>
            </w:r>
            <w:r w:rsidRPr="006E50B1">
              <w:rPr>
                <w:lang w:eastAsia="en-GB"/>
              </w:rPr>
              <w:t xml:space="preserve">unknown </w:t>
            </w:r>
            <w:r>
              <w:rPr>
                <w:lang w:eastAsia="en-GB"/>
              </w:rPr>
              <w:t>[</w:t>
            </w:r>
            <w:r w:rsidRPr="006E50B1">
              <w:rPr>
                <w:lang w:eastAsia="en-GB"/>
              </w:rPr>
              <w:t xml:space="preserve">or known] intra-frequency cell operating with 12 PRB SSB bandwidth, then </w:t>
            </w:r>
            <w:r w:rsidRPr="006E50B1">
              <w:t>T</w:t>
            </w:r>
            <w:r w:rsidRPr="006E50B1">
              <w:rPr>
                <w:vertAlign w:val="subscript"/>
              </w:rPr>
              <w:t>∆</w:t>
            </w:r>
            <w:r w:rsidRPr="006E50B1">
              <w:t xml:space="preserve"> </w:t>
            </w:r>
            <w:r w:rsidRPr="006E50B1">
              <w:rPr>
                <w:lang w:eastAsia="en-GB"/>
              </w:rPr>
              <w:t>= [</w:t>
            </w:r>
            <w:proofErr w:type="gramStart"/>
            <w:r w:rsidRPr="006E50B1">
              <w:rPr>
                <w:lang w:eastAsia="en-GB"/>
              </w:rPr>
              <w:t>3]*</w:t>
            </w:r>
            <w:proofErr w:type="spellStart"/>
            <w:proofErr w:type="gramEnd"/>
            <w:r w:rsidRPr="006E50B1">
              <w:rPr>
                <w:lang w:eastAsia="en-GB"/>
              </w:rPr>
              <w:t>T</w:t>
            </w:r>
            <w:r w:rsidRPr="006E50B1">
              <w:rPr>
                <w:vertAlign w:val="subscript"/>
                <w:lang w:eastAsia="en-GB"/>
              </w:rPr>
              <w:t>rs</w:t>
            </w:r>
            <w:proofErr w:type="spellEnd"/>
            <w:r w:rsidRPr="006E50B1">
              <w:rPr>
                <w:lang w:eastAsia="en-GB"/>
              </w:rPr>
              <w:t xml:space="preserve"> </w:t>
            </w:r>
            <w:proofErr w:type="spellStart"/>
            <w:r w:rsidRPr="006E50B1">
              <w:rPr>
                <w:lang w:eastAsia="en-GB"/>
              </w:rPr>
              <w:t>ms</w:t>
            </w:r>
            <w:proofErr w:type="spellEnd"/>
            <w:r w:rsidRPr="006E50B1">
              <w:rPr>
                <w:lang w:eastAsia="en-GB"/>
              </w:rPr>
              <w:t>.</w:t>
            </w:r>
          </w:p>
          <w:p w14:paraId="13EDF4EA" w14:textId="77777777" w:rsidR="00732725" w:rsidRDefault="00732725" w:rsidP="00732725">
            <w:pPr>
              <w:overflowPunct w:val="0"/>
              <w:autoSpaceDE w:val="0"/>
              <w:autoSpaceDN w:val="0"/>
              <w:adjustRightInd w:val="0"/>
              <w:ind w:left="568" w:hanging="284"/>
              <w:textAlignment w:val="baseline"/>
              <w:rPr>
                <w:lang w:eastAsia="en-GB"/>
              </w:rPr>
            </w:pPr>
            <w:r w:rsidRPr="006E50B1">
              <w:rPr>
                <w:lang w:eastAsia="en-GB"/>
              </w:rPr>
              <w:tab/>
              <w:t>-</w:t>
            </w:r>
            <w:r w:rsidRPr="006E50B1">
              <w:rPr>
                <w:lang w:eastAsia="en-GB"/>
              </w:rPr>
              <w:tab/>
              <w:t xml:space="preserve">If the target cell is an unknown </w:t>
            </w:r>
            <w:r>
              <w:rPr>
                <w:lang w:eastAsia="en-GB"/>
              </w:rPr>
              <w:t>[</w:t>
            </w:r>
            <w:r w:rsidRPr="006E50B1">
              <w:rPr>
                <w:lang w:eastAsia="en-GB"/>
              </w:rPr>
              <w:t>or known</w:t>
            </w:r>
            <w:r>
              <w:rPr>
                <w:lang w:eastAsia="en-GB"/>
              </w:rPr>
              <w:t xml:space="preserve">] </w:t>
            </w:r>
            <w:r w:rsidRPr="0055692F">
              <w:rPr>
                <w:lang w:eastAsia="en-GB"/>
              </w:rPr>
              <w:t xml:space="preserve">inter-frequency cell </w:t>
            </w:r>
            <w:r w:rsidRPr="00331AC9">
              <w:rPr>
                <w:lang w:eastAsia="en-GB"/>
              </w:rPr>
              <w:t xml:space="preserve">operating </w:t>
            </w:r>
            <w:r w:rsidRPr="0055692F">
              <w:rPr>
                <w:lang w:eastAsia="en-GB"/>
              </w:rPr>
              <w:t xml:space="preserve">with 12 PRB SSB bandwidth, then </w:t>
            </w:r>
            <w:r>
              <w:t>T</w:t>
            </w:r>
            <w:r>
              <w:rPr>
                <w:vertAlign w:val="subscript"/>
              </w:rPr>
              <w:t>∆</w:t>
            </w:r>
            <w:r>
              <w:t xml:space="preserve"> </w:t>
            </w:r>
            <w:r w:rsidRPr="0055692F">
              <w:rPr>
                <w:lang w:eastAsia="en-GB"/>
              </w:rPr>
              <w:t>= [5] *</w:t>
            </w:r>
            <w:proofErr w:type="spellStart"/>
            <w:r w:rsidRPr="0055692F">
              <w:rPr>
                <w:lang w:eastAsia="en-GB"/>
              </w:rPr>
              <w:t>T</w:t>
            </w:r>
            <w:r w:rsidRPr="0055692F">
              <w:rPr>
                <w:vertAlign w:val="subscript"/>
                <w:lang w:eastAsia="en-GB"/>
              </w:rPr>
              <w:t>rs</w:t>
            </w:r>
            <w:proofErr w:type="spellEnd"/>
            <w:r w:rsidRPr="0055692F">
              <w:rPr>
                <w:lang w:eastAsia="en-GB"/>
              </w:rPr>
              <w:t xml:space="preserve"> </w:t>
            </w:r>
            <w:proofErr w:type="spellStart"/>
            <w:r w:rsidRPr="0055692F">
              <w:rPr>
                <w:lang w:eastAsia="en-GB"/>
              </w:rPr>
              <w:t>ms</w:t>
            </w:r>
            <w:proofErr w:type="spellEnd"/>
            <w:r>
              <w:rPr>
                <w:lang w:eastAsia="en-GB"/>
              </w:rPr>
              <w:t>.</w:t>
            </w:r>
          </w:p>
          <w:p w14:paraId="5F53A33D" w14:textId="2AD9773F" w:rsidR="00943B5A" w:rsidRPr="00E8623D" w:rsidRDefault="00732725" w:rsidP="00732725">
            <w:pPr>
              <w:pStyle w:val="B1"/>
            </w:pPr>
            <w:r>
              <w:rPr>
                <w:lang w:eastAsia="en-GB"/>
              </w:rPr>
              <w:t xml:space="preserve">  </w:t>
            </w:r>
            <w:r w:rsidRPr="006A7F97">
              <w:rPr>
                <w:lang w:eastAsia="en-GB"/>
              </w:rPr>
              <w:tab/>
            </w:r>
            <w:r>
              <w:rPr>
                <w:lang w:eastAsia="en-GB"/>
              </w:rPr>
              <w:t xml:space="preserve">Otherwise, </w:t>
            </w:r>
            <w:r w:rsidR="00943B5A">
              <w:t>T</w:t>
            </w:r>
            <w:r w:rsidR="00943B5A">
              <w:rPr>
                <w:vertAlign w:val="subscript"/>
              </w:rPr>
              <w:t>∆</w:t>
            </w:r>
            <w:r w:rsidR="00943B5A">
              <w:t xml:space="preserve"> = </w:t>
            </w:r>
            <w:proofErr w:type="spellStart"/>
            <w:r w:rsidR="00943B5A">
              <w:t>T</w:t>
            </w:r>
            <w:r w:rsidR="00943B5A">
              <w:rPr>
                <w:vertAlign w:val="subscript"/>
              </w:rPr>
              <w:t>rs</w:t>
            </w:r>
            <w:proofErr w:type="spellEnd"/>
            <w:r w:rsidR="00943B5A">
              <w:rPr>
                <w:vertAlign w:val="subscript"/>
              </w:rPr>
              <w:t xml:space="preserve"> </w:t>
            </w:r>
            <w:r w:rsidR="00943B5A">
              <w:t>for both known and unknown target cell.</w:t>
            </w:r>
          </w:p>
        </w:tc>
      </w:tr>
    </w:tbl>
    <w:p w14:paraId="02827653" w14:textId="77777777" w:rsidR="00943B5A" w:rsidRPr="00DE1E43" w:rsidRDefault="00943B5A" w:rsidP="0060543D">
      <w:pPr>
        <w:rPr>
          <w:sz w:val="22"/>
          <w:lang w:val="fi-FI"/>
        </w:rPr>
      </w:pPr>
    </w:p>
    <w:p w14:paraId="6E0D4025" w14:textId="7D46CCF2" w:rsidR="00BF1470" w:rsidRPr="00C4098A" w:rsidRDefault="00C4098A" w:rsidP="00C4098A">
      <w:pPr>
        <w:pStyle w:val="RAN4proposal"/>
      </w:pPr>
      <w:bookmarkStart w:id="7" w:name="_Toc163503053"/>
      <w:r w:rsidRPr="00C4098A">
        <w:t>For unknown intra-frequency scenarios</w:t>
      </w:r>
      <w:r>
        <w:t>, i</w:t>
      </w:r>
      <w:r w:rsidR="00DE1E43" w:rsidRPr="00616997">
        <w:t>nclude the additional SSB samples for SI</w:t>
      </w:r>
      <w:r>
        <w:t>B</w:t>
      </w:r>
      <w:r w:rsidR="00DE1E43" w:rsidRPr="00616997">
        <w:t xml:space="preserve"> and MIB reading due to PBCH puncturing as part of T∆ instead of </w:t>
      </w:r>
      <w:proofErr w:type="spellStart"/>
      <w:r w:rsidR="00DE1E43" w:rsidRPr="00616997">
        <w:t>T</w:t>
      </w:r>
      <w:r w:rsidR="00DE1E43" w:rsidRPr="00C4098A">
        <w:rPr>
          <w:vertAlign w:val="subscript"/>
        </w:rPr>
        <w:t>search</w:t>
      </w:r>
      <w:proofErr w:type="spellEnd"/>
      <w:r w:rsidR="00DE1E43" w:rsidRPr="00616997">
        <w:t>.</w:t>
      </w:r>
      <w:bookmarkEnd w:id="7"/>
      <w:r w:rsidR="00DE1E43" w:rsidRPr="00C4098A">
        <w:t xml:space="preserve"> </w:t>
      </w:r>
    </w:p>
    <w:p w14:paraId="338C3148" w14:textId="79F5C9A5" w:rsidR="006E7037" w:rsidRPr="006E7037" w:rsidRDefault="00C11A7D" w:rsidP="006E7037">
      <w:pPr>
        <w:pStyle w:val="RAN4proposal"/>
        <w:rPr>
          <w:lang w:eastAsia="zh-CN"/>
        </w:rPr>
      </w:pPr>
      <w:bookmarkStart w:id="8" w:name="_Toc163503054"/>
      <w:r w:rsidRPr="00C11A7D">
        <w:rPr>
          <w:lang w:eastAsia="zh-CN"/>
        </w:rPr>
        <w:t xml:space="preserve">RAN4 </w:t>
      </w:r>
      <w:r w:rsidR="00875152">
        <w:rPr>
          <w:lang w:eastAsia="zh-CN"/>
        </w:rPr>
        <w:t>to</w:t>
      </w:r>
      <w:r w:rsidRPr="00C11A7D">
        <w:rPr>
          <w:lang w:eastAsia="zh-CN"/>
        </w:rPr>
        <w:t xml:space="preserve"> discuss if </w:t>
      </w:r>
      <w:r w:rsidR="00E46D24">
        <w:rPr>
          <w:lang w:eastAsia="zh-CN"/>
        </w:rPr>
        <w:t xml:space="preserve">extra time for SIB / MIB reading is added to the </w:t>
      </w:r>
      <w:r w:rsidRPr="00C11A7D">
        <w:rPr>
          <w:lang w:eastAsia="zh-CN"/>
        </w:rPr>
        <w:t xml:space="preserve">known </w:t>
      </w:r>
      <w:proofErr w:type="gramStart"/>
      <w:r w:rsidRPr="00C11A7D">
        <w:rPr>
          <w:lang w:eastAsia="zh-CN"/>
        </w:rPr>
        <w:t>case</w:t>
      </w:r>
      <w:bookmarkEnd w:id="8"/>
      <w:proofErr w:type="gramEnd"/>
      <w:r w:rsidRPr="00C11A7D">
        <w:rPr>
          <w:lang w:eastAsia="zh-CN"/>
        </w:rPr>
        <w:t xml:space="preserve"> </w:t>
      </w:r>
    </w:p>
    <w:p w14:paraId="15033B25" w14:textId="135ED82F" w:rsidR="005A6D40" w:rsidRPr="005A6D40" w:rsidRDefault="00CB37F4" w:rsidP="00CB37F4">
      <w:pPr>
        <w:pStyle w:val="RAN4H2"/>
        <w:rPr>
          <w:lang w:eastAsia="zh-CN"/>
        </w:rPr>
      </w:pPr>
      <w:r>
        <w:rPr>
          <w:lang w:eastAsia="zh-CN"/>
        </w:rPr>
        <w:t>Applicability rule</w:t>
      </w:r>
    </w:p>
    <w:tbl>
      <w:tblPr>
        <w:tblStyle w:val="TableGrid"/>
        <w:tblW w:w="0" w:type="auto"/>
        <w:tblLook w:val="04A0" w:firstRow="1" w:lastRow="0" w:firstColumn="1" w:lastColumn="0" w:noHBand="0" w:noVBand="1"/>
      </w:tblPr>
      <w:tblGrid>
        <w:gridCol w:w="9617"/>
      </w:tblGrid>
      <w:tr w:rsidR="00057AB8" w14:paraId="68D00799" w14:textId="77777777" w:rsidTr="00057AB8">
        <w:tc>
          <w:tcPr>
            <w:tcW w:w="9617" w:type="dxa"/>
          </w:tcPr>
          <w:p w14:paraId="0FC0665B" w14:textId="77777777" w:rsidR="00057AB8" w:rsidRPr="00CB313C" w:rsidRDefault="00057AB8" w:rsidP="00057AB8">
            <w:pPr>
              <w:spacing w:line="256" w:lineRule="auto"/>
              <w:rPr>
                <w:rFonts w:ascii="Calibri" w:eastAsia="Calibri" w:hAnsi="Calibri" w:cs="Times New Roman"/>
                <w:b/>
                <w:kern w:val="2"/>
                <w:sz w:val="22"/>
                <w:lang w:val="en-US" w:eastAsia="ko-KR"/>
                <w14:ligatures w14:val="standardContextual"/>
              </w:rPr>
            </w:pPr>
            <w:bookmarkStart w:id="9" w:name="_Toc116995848"/>
            <w:r w:rsidRPr="00CB313C">
              <w:rPr>
                <w:rFonts w:ascii="Calibri" w:eastAsia="Calibri" w:hAnsi="Calibri" w:cs="Times New Roman"/>
                <w:b/>
                <w:kern w:val="2"/>
                <w:sz w:val="22"/>
                <w:lang w:val="en-US" w:eastAsia="ko-KR"/>
                <w14:ligatures w14:val="standardContextual"/>
              </w:rPr>
              <w:t xml:space="preserve">Issue 1-7: Applicability rules clause in </w:t>
            </w:r>
            <w:proofErr w:type="gramStart"/>
            <w:r w:rsidRPr="00CB313C">
              <w:rPr>
                <w:rFonts w:ascii="Calibri" w:eastAsia="Calibri" w:hAnsi="Calibri" w:cs="Times New Roman"/>
                <w:b/>
                <w:kern w:val="2"/>
                <w:sz w:val="22"/>
                <w:lang w:val="en-US" w:eastAsia="ko-KR"/>
                <w14:ligatures w14:val="standardContextual"/>
              </w:rPr>
              <w:t>38.133</w:t>
            </w:r>
            <w:proofErr w:type="gramEnd"/>
          </w:p>
          <w:p w14:paraId="63236881" w14:textId="77777777" w:rsidR="00057AB8" w:rsidRPr="00CB313C" w:rsidRDefault="00057AB8" w:rsidP="00057AB8">
            <w:pPr>
              <w:spacing w:line="256" w:lineRule="auto"/>
              <w:ind w:left="284" w:hanging="284"/>
              <w:rPr>
                <w:rFonts w:ascii="Calibri" w:eastAsia="Calibri" w:hAnsi="Calibri" w:cs="Times New Roman"/>
                <w:kern w:val="2"/>
                <w:sz w:val="22"/>
                <w:lang w:val="en-US" w:eastAsia="zh-CN"/>
                <w14:ligatures w14:val="standardContextual"/>
              </w:rPr>
            </w:pPr>
            <w:r w:rsidRPr="00CB313C">
              <w:rPr>
                <w:rFonts w:ascii="Calibri" w:eastAsia="Calibri" w:hAnsi="Calibri" w:cs="Times New Roman"/>
                <w:kern w:val="2"/>
                <w:sz w:val="22"/>
                <w:lang w:val="en-US" w:eastAsia="zh-CN"/>
                <w14:ligatures w14:val="standardContextual"/>
              </w:rPr>
              <w:t>Way Forward:</w:t>
            </w:r>
          </w:p>
          <w:p w14:paraId="606D0696" w14:textId="77777777" w:rsidR="00057AB8" w:rsidRPr="00CB313C" w:rsidRDefault="00057AB8" w:rsidP="00057AB8">
            <w:pPr>
              <w:spacing w:line="256" w:lineRule="auto"/>
              <w:ind w:left="284" w:hanging="284"/>
              <w:rPr>
                <w:rFonts w:ascii="Calibri" w:eastAsia="Calibri" w:hAnsi="Calibri" w:cs="Times New Roman"/>
                <w:kern w:val="2"/>
                <w:sz w:val="22"/>
                <w14:ligatures w14:val="standardContextual"/>
              </w:rPr>
            </w:pPr>
            <w:r w:rsidRPr="00CB313C">
              <w:rPr>
                <w:rFonts w:ascii="Calibri" w:eastAsia="Calibri" w:hAnsi="Calibri" w:cs="Times New Roman"/>
                <w:kern w:val="2"/>
                <w:sz w:val="22"/>
                <w:lang w:eastAsia="zh-CN"/>
                <w14:ligatures w14:val="standardContextual"/>
              </w:rPr>
              <w:t>-</w:t>
            </w:r>
            <w:r w:rsidRPr="00CB313C">
              <w:rPr>
                <w:rFonts w:ascii="Calibri" w:eastAsia="Calibri" w:hAnsi="Calibri" w:cs="Times New Roman"/>
                <w:kern w:val="2"/>
                <w:sz w:val="22"/>
                <w:lang w:eastAsia="zh-CN"/>
                <w14:ligatures w14:val="standardContextual"/>
              </w:rPr>
              <w:tab/>
              <w:t>Option 1:</w:t>
            </w:r>
            <w:r w:rsidRPr="00CB313C">
              <w:rPr>
                <w:rFonts w:ascii="Calibri" w:eastAsia="Calibri" w:hAnsi="Calibri" w:cs="Times New Roman"/>
                <w:kern w:val="2"/>
                <w:sz w:val="22"/>
                <w14:ligatures w14:val="standardContextual"/>
              </w:rPr>
              <w:t xml:space="preserve"> RAN4 to capture following in applicability section 3.6.18.</w:t>
            </w:r>
          </w:p>
          <w:p w14:paraId="0A3D32BC" w14:textId="5AF4EECC" w:rsidR="00057AB8" w:rsidRPr="00057AB8" w:rsidRDefault="00057AB8" w:rsidP="00057AB8">
            <w:pPr>
              <w:numPr>
                <w:ilvl w:val="0"/>
                <w:numId w:val="27"/>
              </w:numPr>
              <w:spacing w:after="160" w:line="256" w:lineRule="auto"/>
              <w:rPr>
                <w:rFonts w:ascii="Calibri" w:eastAsia="Calibri" w:hAnsi="Calibri" w:cs="Times New Roman"/>
                <w:kern w:val="2"/>
                <w:sz w:val="22"/>
                <w:lang w:val="en-US" w:eastAsia="zh-CN"/>
                <w14:ligatures w14:val="standardContextual"/>
              </w:rPr>
            </w:pPr>
            <w:r w:rsidRPr="00CB313C">
              <w:rPr>
                <w:rFonts w:ascii="Calibri" w:eastAsia="Calibri" w:hAnsi="Calibri" w:cs="Times New Roman"/>
                <w:kern w:val="2"/>
                <w:sz w:val="22"/>
                <w14:ligatures w14:val="standardContextual"/>
              </w:rPr>
              <w:t>For a UE supporting less than 5 MHz BW in FR1 FDD bands, the requirements which are impacted due to reduced BW is defined in respective sections. For a specific requirement where it is not mentioned for less than 5 MHz, requirements corresponding to NR single carrier operation are applicable.</w:t>
            </w:r>
          </w:p>
        </w:tc>
      </w:tr>
    </w:tbl>
    <w:p w14:paraId="27DEB778" w14:textId="767CCBF3" w:rsidR="005A6D40" w:rsidRDefault="005A6D40" w:rsidP="005A6D40">
      <w:pPr>
        <w:rPr>
          <w:rFonts w:eastAsia="SimSun"/>
          <w:lang w:val="en-US" w:eastAsia="fr-FR"/>
        </w:rPr>
      </w:pPr>
    </w:p>
    <w:p w14:paraId="614CAEBF" w14:textId="19A1A80E" w:rsidR="00A55F6C" w:rsidRPr="005A6D40" w:rsidRDefault="005A6D40" w:rsidP="005A6D40">
      <w:pPr>
        <w:rPr>
          <w:rFonts w:eastAsia="SimSun"/>
          <w:lang w:eastAsia="fr-FR"/>
        </w:rPr>
      </w:pPr>
      <w:r>
        <w:rPr>
          <w:rFonts w:eastAsia="SimSun"/>
          <w:lang w:val="en-US" w:eastAsia="fr-FR"/>
        </w:rPr>
        <w:t>Currently the following applicability rule is captured in the specification</w:t>
      </w:r>
      <w:r>
        <w:rPr>
          <w:rFonts w:eastAsia="SimSun"/>
          <w:lang w:eastAsia="fr-FR"/>
        </w:rPr>
        <w:t xml:space="preserve">: </w:t>
      </w:r>
    </w:p>
    <w:tbl>
      <w:tblPr>
        <w:tblStyle w:val="TableGrid"/>
        <w:tblW w:w="0" w:type="auto"/>
        <w:tblLook w:val="04A0" w:firstRow="1" w:lastRow="0" w:firstColumn="1" w:lastColumn="0" w:noHBand="0" w:noVBand="1"/>
      </w:tblPr>
      <w:tblGrid>
        <w:gridCol w:w="9617"/>
      </w:tblGrid>
      <w:tr w:rsidR="006A657F" w14:paraId="41D0B67C" w14:textId="77777777" w:rsidTr="006A657F">
        <w:tc>
          <w:tcPr>
            <w:tcW w:w="9617" w:type="dxa"/>
          </w:tcPr>
          <w:p w14:paraId="2ACCC9B0" w14:textId="77777777" w:rsidR="0022322F" w:rsidRPr="0022322F" w:rsidRDefault="0022322F" w:rsidP="0022322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US" w:eastAsia="zh-CN"/>
              </w:rPr>
            </w:pPr>
            <w:r w:rsidRPr="0022322F">
              <w:rPr>
                <w:rFonts w:ascii="Arial" w:eastAsia="Times New Roman" w:hAnsi="Arial" w:cs="Times New Roman"/>
                <w:sz w:val="28"/>
                <w:szCs w:val="20"/>
                <w:lang w:val="en-US" w:eastAsia="ko-KR"/>
              </w:rPr>
              <w:t>3.6.18</w:t>
            </w:r>
            <w:r w:rsidRPr="0022322F">
              <w:rPr>
                <w:rFonts w:ascii="Arial" w:eastAsia="Times New Roman" w:hAnsi="Arial" w:cs="Times New Roman"/>
                <w:sz w:val="28"/>
                <w:szCs w:val="20"/>
                <w:lang w:val="en-US" w:eastAsia="ko-KR"/>
              </w:rPr>
              <w:tab/>
            </w:r>
            <w:r w:rsidRPr="0022322F">
              <w:rPr>
                <w:rFonts w:ascii="Arial" w:eastAsia="Times New Roman" w:hAnsi="Arial" w:cs="Times New Roman"/>
                <w:sz w:val="28"/>
                <w:szCs w:val="20"/>
                <w:lang w:eastAsia="en-GB"/>
              </w:rPr>
              <w:t xml:space="preserve">Applicability of requirements </w:t>
            </w:r>
            <w:r w:rsidRPr="0022322F">
              <w:rPr>
                <w:rFonts w:ascii="Arial" w:eastAsia="SimSun" w:hAnsi="Arial" w:cs="Times New Roman"/>
                <w:sz w:val="28"/>
                <w:szCs w:val="20"/>
                <w:lang w:val="en-US" w:eastAsia="fr-FR"/>
              </w:rPr>
              <w:t>for a UE operating on a cell with</w:t>
            </w:r>
            <w:r w:rsidRPr="0022322F">
              <w:rPr>
                <w:rFonts w:ascii="Arial" w:eastAsia="SimSun" w:hAnsi="Arial" w:cs="Times New Roman"/>
                <w:sz w:val="28"/>
                <w:szCs w:val="20"/>
                <w:lang w:val="x-none" w:eastAsia="fr-FR"/>
              </w:rPr>
              <w:t xml:space="preserve"> less than 5MHz</w:t>
            </w:r>
            <w:r w:rsidRPr="0022322F">
              <w:rPr>
                <w:rFonts w:ascii="Arial" w:eastAsia="SimSun" w:hAnsi="Arial" w:cs="Times New Roman"/>
                <w:sz w:val="28"/>
                <w:szCs w:val="20"/>
                <w:lang w:val="en-US" w:eastAsia="fr-FR"/>
              </w:rPr>
              <w:t xml:space="preserve"> BW]</w:t>
            </w:r>
          </w:p>
          <w:p w14:paraId="0D623650" w14:textId="77777777" w:rsidR="0022322F" w:rsidRPr="0022322F" w:rsidRDefault="0022322F" w:rsidP="0022322F">
            <w:pPr>
              <w:overflowPunct w:val="0"/>
              <w:autoSpaceDE w:val="0"/>
              <w:autoSpaceDN w:val="0"/>
              <w:adjustRightInd w:val="0"/>
              <w:spacing w:after="180"/>
              <w:textAlignment w:val="baseline"/>
              <w:rPr>
                <w:rFonts w:eastAsia="Times New Roman" w:cs="Times New Roman"/>
                <w:szCs w:val="20"/>
                <w:lang w:eastAsia="zh-CN"/>
              </w:rPr>
            </w:pPr>
            <w:r w:rsidRPr="0022322F">
              <w:rPr>
                <w:rFonts w:eastAsia="SimSun" w:cs="Times New Roman"/>
                <w:szCs w:val="20"/>
                <w:lang w:val="en-US" w:eastAsia="fr-FR"/>
              </w:rPr>
              <w:t>For a UE operating on a cell with</w:t>
            </w:r>
            <w:r w:rsidRPr="0022322F">
              <w:rPr>
                <w:rFonts w:eastAsia="SimSun" w:cs="Times New Roman"/>
                <w:szCs w:val="20"/>
                <w:lang w:val="x-none" w:eastAsia="fr-FR"/>
              </w:rPr>
              <w:t xml:space="preserve"> less than 5MHz</w:t>
            </w:r>
            <w:r w:rsidRPr="0022322F">
              <w:rPr>
                <w:rFonts w:eastAsia="SimSun" w:cs="Times New Roman"/>
                <w:szCs w:val="20"/>
                <w:lang w:val="en-US" w:eastAsia="fr-FR"/>
              </w:rPr>
              <w:t xml:space="preserve"> BW</w:t>
            </w:r>
            <w:r w:rsidRPr="0022322F">
              <w:rPr>
                <w:rFonts w:eastAsia="Times New Roman" w:cs="Times New Roman"/>
                <w:szCs w:val="20"/>
                <w:lang w:eastAsia="en-GB"/>
              </w:rPr>
              <w:t xml:space="preserve"> in FR1 FDD bands, the requirements corresponding to NR single carrier operation are applicable unless specific requirements corresponding to reduced BW are specified.</w:t>
            </w:r>
          </w:p>
          <w:p w14:paraId="57826E5C" w14:textId="77777777" w:rsidR="006A657F" w:rsidRDefault="006A657F">
            <w:pPr>
              <w:rPr>
                <w:lang w:val="en-US"/>
              </w:rPr>
            </w:pPr>
          </w:p>
        </w:tc>
      </w:tr>
    </w:tbl>
    <w:p w14:paraId="26DCE31D" w14:textId="77777777" w:rsidR="00FE0F5D" w:rsidRDefault="00FE0F5D" w:rsidP="00FE0F5D">
      <w:pPr>
        <w:rPr>
          <w:lang w:val="en-US"/>
        </w:rPr>
      </w:pPr>
    </w:p>
    <w:p w14:paraId="5AD9D787" w14:textId="020F7A8B" w:rsidR="00FE0F5D" w:rsidRPr="00FE0F5D" w:rsidRDefault="00FE0F5D" w:rsidP="00FE0F5D">
      <w:pPr>
        <w:rPr>
          <w:lang w:val="en-US"/>
        </w:rPr>
      </w:pPr>
      <w:r>
        <w:rPr>
          <w:lang w:val="en-US"/>
        </w:rPr>
        <w:t xml:space="preserve">RAN4 can use the applicability rule agreed while writing CR during the RAN4 #110 in the current specification. </w:t>
      </w:r>
    </w:p>
    <w:p w14:paraId="5F812E75" w14:textId="2350C277" w:rsidR="00DC5891" w:rsidRPr="00D244F6" w:rsidRDefault="00A832AF" w:rsidP="00D244F6">
      <w:pPr>
        <w:pStyle w:val="RAN4proposal"/>
        <w:rPr>
          <w:lang w:val="en-US"/>
        </w:rPr>
      </w:pPr>
      <w:bookmarkStart w:id="10" w:name="_Toc163503055"/>
      <w:r>
        <w:rPr>
          <w:lang w:val="en-US"/>
        </w:rPr>
        <w:lastRenderedPageBreak/>
        <w:t>Use</w:t>
      </w:r>
      <w:r w:rsidR="00C804B7">
        <w:rPr>
          <w:lang w:val="en-US"/>
        </w:rPr>
        <w:t xml:space="preserve"> applicability rule </w:t>
      </w:r>
      <w:r w:rsidR="000C60D4">
        <w:rPr>
          <w:lang w:val="en-US"/>
        </w:rPr>
        <w:t xml:space="preserve">agreed in the 110 </w:t>
      </w:r>
      <w:r w:rsidR="00987366">
        <w:rPr>
          <w:lang w:val="en-US"/>
        </w:rPr>
        <w:t>meeting.</w:t>
      </w:r>
      <w:bookmarkEnd w:id="10"/>
      <w:r w:rsidR="000C60D4">
        <w:rPr>
          <w:lang w:val="en-US"/>
        </w:rPr>
        <w:t xml:space="preserve"> </w:t>
      </w:r>
    </w:p>
    <w:p w14:paraId="32020592" w14:textId="77777777" w:rsidR="008E03A7" w:rsidRDefault="008E03A7" w:rsidP="008E03A7">
      <w:pPr>
        <w:rPr>
          <w:lang w:val="en-US"/>
        </w:rPr>
      </w:pPr>
    </w:p>
    <w:p w14:paraId="15F52D59" w14:textId="3587B39B" w:rsidR="00381F95" w:rsidRPr="00A21814" w:rsidRDefault="00CD7492" w:rsidP="00936159">
      <w:pPr>
        <w:pStyle w:val="RAN4H1"/>
        <w:rPr>
          <w:lang w:val="en-US"/>
        </w:rPr>
      </w:pPr>
      <w:r w:rsidRPr="00614DD8">
        <w:rPr>
          <w:lang w:val="en-US"/>
        </w:rPr>
        <w:t>Conclusion</w:t>
      </w:r>
      <w:bookmarkEnd w:id="9"/>
    </w:p>
    <w:p w14:paraId="79D9667A"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1F001F1E" w14:textId="77777777" w:rsidR="00BF1D63" w:rsidRDefault="00A4355E">
      <w:pPr>
        <w:pStyle w:val="TOC5"/>
        <w:rPr>
          <w:rFonts w:asciiTheme="minorHAnsi" w:eastAsiaTheme="minorEastAsia" w:hAnsiTheme="minorHAnsi"/>
          <w:b w:val="0"/>
          <w:noProof/>
          <w:kern w:val="2"/>
          <w:sz w:val="22"/>
          <w:lang w:eastAsia="en-GB"/>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63503053" w:history="1">
        <w:r w:rsidR="00BF1D63" w:rsidRPr="00607F94">
          <w:rPr>
            <w:rStyle w:val="Hyperlink"/>
            <w:noProof/>
          </w:rPr>
          <w:t>Proposal 1: For unknown intra-frequency scenarios, include the additional SSB samples for SIB and MIB reading due to PBCH puncturing as part of T∆ instead of T</w:t>
        </w:r>
        <w:r w:rsidR="00BF1D63" w:rsidRPr="00607F94">
          <w:rPr>
            <w:rStyle w:val="Hyperlink"/>
            <w:noProof/>
            <w:vertAlign w:val="subscript"/>
          </w:rPr>
          <w:t>search</w:t>
        </w:r>
        <w:r w:rsidR="00BF1D63" w:rsidRPr="00607F94">
          <w:rPr>
            <w:rStyle w:val="Hyperlink"/>
            <w:noProof/>
          </w:rPr>
          <w:t>.</w:t>
        </w:r>
      </w:hyperlink>
    </w:p>
    <w:p w14:paraId="62B67D77" w14:textId="77777777" w:rsidR="00BF1D63" w:rsidRDefault="00987C55">
      <w:pPr>
        <w:pStyle w:val="TOC5"/>
        <w:rPr>
          <w:rFonts w:asciiTheme="minorHAnsi" w:eastAsiaTheme="minorEastAsia" w:hAnsiTheme="minorHAnsi"/>
          <w:b w:val="0"/>
          <w:noProof/>
          <w:kern w:val="2"/>
          <w:sz w:val="22"/>
          <w:lang w:eastAsia="en-GB"/>
          <w14:ligatures w14:val="standardContextual"/>
        </w:rPr>
      </w:pPr>
      <w:hyperlink w:anchor="_Toc163503054" w:history="1">
        <w:r w:rsidR="00BF1D63" w:rsidRPr="00607F94">
          <w:rPr>
            <w:rStyle w:val="Hyperlink"/>
            <w:noProof/>
            <w:lang w:eastAsia="zh-CN"/>
          </w:rPr>
          <w:t>Proposal 2: RAN4 to discuss if extra time for SIB / MIB reading is added to the known case</w:t>
        </w:r>
      </w:hyperlink>
    </w:p>
    <w:p w14:paraId="0DF82795" w14:textId="77777777" w:rsidR="00BF1D63" w:rsidRDefault="00987C55">
      <w:pPr>
        <w:pStyle w:val="TOC5"/>
        <w:rPr>
          <w:rFonts w:asciiTheme="minorHAnsi" w:eastAsiaTheme="minorEastAsia" w:hAnsiTheme="minorHAnsi"/>
          <w:b w:val="0"/>
          <w:noProof/>
          <w:kern w:val="2"/>
          <w:sz w:val="22"/>
          <w:lang w:eastAsia="en-GB"/>
          <w14:ligatures w14:val="standardContextual"/>
        </w:rPr>
      </w:pPr>
      <w:hyperlink w:anchor="_Toc163503055" w:history="1">
        <w:r w:rsidR="00BF1D63" w:rsidRPr="00607F94">
          <w:rPr>
            <w:rStyle w:val="Hyperlink"/>
            <w:noProof/>
            <w:lang w:val="en-US"/>
          </w:rPr>
          <w:t>Proposal 3: Use applicability rule agreed in the 110 meeting.</w:t>
        </w:r>
      </w:hyperlink>
    </w:p>
    <w:p w14:paraId="155565D3" w14:textId="04134172" w:rsidR="00E43BF9" w:rsidRPr="00614DD8" w:rsidRDefault="00A4355E" w:rsidP="00A21814">
      <w:pPr>
        <w:rPr>
          <w:lang w:val="en-US"/>
        </w:rPr>
      </w:pPr>
      <w:r w:rsidRPr="00614DD8">
        <w:rPr>
          <w:lang w:val="en-US"/>
        </w:rPr>
        <w:fldChar w:fldCharType="end"/>
      </w:r>
      <w:r w:rsidR="00E43BF9" w:rsidRPr="00614DD8">
        <w:rPr>
          <w:lang w:val="en-US"/>
        </w:rPr>
        <w:t xml:space="preserve"> </w:t>
      </w:r>
    </w:p>
    <w:p w14:paraId="0830030F" w14:textId="77777777" w:rsidR="00E43BF9" w:rsidRPr="00614DD8" w:rsidRDefault="00E43BF9" w:rsidP="00E43BF9">
      <w:pPr>
        <w:ind w:right="-22"/>
        <w:rPr>
          <w:lang w:val="en-US"/>
        </w:rPr>
      </w:pPr>
    </w:p>
    <w:sectPr w:rsidR="00E43BF9" w:rsidRPr="00614DD8" w:rsidSect="0012480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CC58" w14:textId="77777777" w:rsidR="00124803" w:rsidRDefault="00124803" w:rsidP="00001C9B">
      <w:pPr>
        <w:spacing w:after="0" w:line="240" w:lineRule="auto"/>
      </w:pPr>
      <w:r>
        <w:separator/>
      </w:r>
    </w:p>
  </w:endnote>
  <w:endnote w:type="continuationSeparator" w:id="0">
    <w:p w14:paraId="0DDE388B" w14:textId="77777777" w:rsidR="00124803" w:rsidRDefault="00124803" w:rsidP="00001C9B">
      <w:pPr>
        <w:spacing w:after="0" w:line="240" w:lineRule="auto"/>
      </w:pPr>
      <w:r>
        <w:continuationSeparator/>
      </w:r>
    </w:p>
  </w:endnote>
  <w:endnote w:type="continuationNotice" w:id="1">
    <w:p w14:paraId="2C757709" w14:textId="77777777" w:rsidR="00124803" w:rsidRDefault="00124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1985" w14:textId="77777777" w:rsidR="00124803" w:rsidRDefault="00124803" w:rsidP="00001C9B">
      <w:pPr>
        <w:spacing w:after="0" w:line="240" w:lineRule="auto"/>
      </w:pPr>
      <w:r>
        <w:separator/>
      </w:r>
    </w:p>
  </w:footnote>
  <w:footnote w:type="continuationSeparator" w:id="0">
    <w:p w14:paraId="087EEECA" w14:textId="77777777" w:rsidR="00124803" w:rsidRDefault="00124803" w:rsidP="00001C9B">
      <w:pPr>
        <w:spacing w:after="0" w:line="240" w:lineRule="auto"/>
      </w:pPr>
      <w:r>
        <w:continuationSeparator/>
      </w:r>
    </w:p>
  </w:footnote>
  <w:footnote w:type="continuationNotice" w:id="1">
    <w:p w14:paraId="4C8E8FE3" w14:textId="77777777" w:rsidR="00124803" w:rsidRDefault="001248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384751"/>
    <w:multiLevelType w:val="hybridMultilevel"/>
    <w:tmpl w:val="8EA84AEC"/>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7484574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234AA"/>
    <w:rsid w:val="00001C9B"/>
    <w:rsid w:val="000040DC"/>
    <w:rsid w:val="00011784"/>
    <w:rsid w:val="000151EF"/>
    <w:rsid w:val="000239F5"/>
    <w:rsid w:val="00025FF3"/>
    <w:rsid w:val="00057AB8"/>
    <w:rsid w:val="000612DD"/>
    <w:rsid w:val="00072CCA"/>
    <w:rsid w:val="00080F30"/>
    <w:rsid w:val="0008612A"/>
    <w:rsid w:val="00090E18"/>
    <w:rsid w:val="000A10BC"/>
    <w:rsid w:val="000A7F53"/>
    <w:rsid w:val="000B0056"/>
    <w:rsid w:val="000B7B40"/>
    <w:rsid w:val="000C3C7B"/>
    <w:rsid w:val="000C60D4"/>
    <w:rsid w:val="000D0F93"/>
    <w:rsid w:val="00106416"/>
    <w:rsid w:val="00110481"/>
    <w:rsid w:val="00111EC8"/>
    <w:rsid w:val="001127C9"/>
    <w:rsid w:val="00114498"/>
    <w:rsid w:val="00115B88"/>
    <w:rsid w:val="00124803"/>
    <w:rsid w:val="00132F6A"/>
    <w:rsid w:val="00133913"/>
    <w:rsid w:val="00140221"/>
    <w:rsid w:val="00147EBF"/>
    <w:rsid w:val="001642FC"/>
    <w:rsid w:val="0016496B"/>
    <w:rsid w:val="001743E2"/>
    <w:rsid w:val="001745F8"/>
    <w:rsid w:val="001838CF"/>
    <w:rsid w:val="001868EE"/>
    <w:rsid w:val="001A091E"/>
    <w:rsid w:val="001A3BA4"/>
    <w:rsid w:val="001A6D1F"/>
    <w:rsid w:val="001B1EA8"/>
    <w:rsid w:val="001B7E0C"/>
    <w:rsid w:val="001E30F6"/>
    <w:rsid w:val="00217EE5"/>
    <w:rsid w:val="0022322F"/>
    <w:rsid w:val="002234AA"/>
    <w:rsid w:val="00235F5C"/>
    <w:rsid w:val="00257FA3"/>
    <w:rsid w:val="00267D8F"/>
    <w:rsid w:val="00277B56"/>
    <w:rsid w:val="00282A74"/>
    <w:rsid w:val="002A19F5"/>
    <w:rsid w:val="002B4922"/>
    <w:rsid w:val="002B69F3"/>
    <w:rsid w:val="002C0311"/>
    <w:rsid w:val="002C22C3"/>
    <w:rsid w:val="002C2D19"/>
    <w:rsid w:val="002D10FA"/>
    <w:rsid w:val="002D4C55"/>
    <w:rsid w:val="002E6DED"/>
    <w:rsid w:val="00300956"/>
    <w:rsid w:val="00317187"/>
    <w:rsid w:val="00317F89"/>
    <w:rsid w:val="0032499A"/>
    <w:rsid w:val="003341F7"/>
    <w:rsid w:val="00347FEC"/>
    <w:rsid w:val="003509DF"/>
    <w:rsid w:val="00356F45"/>
    <w:rsid w:val="00366B74"/>
    <w:rsid w:val="00381F95"/>
    <w:rsid w:val="003930E3"/>
    <w:rsid w:val="003A710A"/>
    <w:rsid w:val="003B63A3"/>
    <w:rsid w:val="003B659E"/>
    <w:rsid w:val="003C275E"/>
    <w:rsid w:val="003C3449"/>
    <w:rsid w:val="003C4AC5"/>
    <w:rsid w:val="003C4FDE"/>
    <w:rsid w:val="003D498F"/>
    <w:rsid w:val="003E58DF"/>
    <w:rsid w:val="003F3CD1"/>
    <w:rsid w:val="00404C4C"/>
    <w:rsid w:val="0040513D"/>
    <w:rsid w:val="0041423F"/>
    <w:rsid w:val="00414F81"/>
    <w:rsid w:val="00436A0F"/>
    <w:rsid w:val="00437150"/>
    <w:rsid w:val="0043750A"/>
    <w:rsid w:val="00447577"/>
    <w:rsid w:val="004732E9"/>
    <w:rsid w:val="004854BB"/>
    <w:rsid w:val="00494493"/>
    <w:rsid w:val="00496606"/>
    <w:rsid w:val="004E5E66"/>
    <w:rsid w:val="004E7ADB"/>
    <w:rsid w:val="005009C6"/>
    <w:rsid w:val="00503B4D"/>
    <w:rsid w:val="00504EE9"/>
    <w:rsid w:val="00514E4F"/>
    <w:rsid w:val="00521576"/>
    <w:rsid w:val="005250E6"/>
    <w:rsid w:val="00526EE5"/>
    <w:rsid w:val="00542D23"/>
    <w:rsid w:val="0054442C"/>
    <w:rsid w:val="00550285"/>
    <w:rsid w:val="00562492"/>
    <w:rsid w:val="00572A20"/>
    <w:rsid w:val="005836F8"/>
    <w:rsid w:val="005918FA"/>
    <w:rsid w:val="00592A86"/>
    <w:rsid w:val="005A6D40"/>
    <w:rsid w:val="005B3029"/>
    <w:rsid w:val="005B4801"/>
    <w:rsid w:val="005C23A4"/>
    <w:rsid w:val="005D1CDF"/>
    <w:rsid w:val="005D2BB7"/>
    <w:rsid w:val="005D6FFE"/>
    <w:rsid w:val="005E61A8"/>
    <w:rsid w:val="005F6419"/>
    <w:rsid w:val="0060301D"/>
    <w:rsid w:val="0060543D"/>
    <w:rsid w:val="006104DD"/>
    <w:rsid w:val="006130B5"/>
    <w:rsid w:val="00614DD8"/>
    <w:rsid w:val="00616997"/>
    <w:rsid w:val="00617400"/>
    <w:rsid w:val="00632D29"/>
    <w:rsid w:val="00653FCE"/>
    <w:rsid w:val="00662B16"/>
    <w:rsid w:val="00664950"/>
    <w:rsid w:val="00683220"/>
    <w:rsid w:val="00687FA0"/>
    <w:rsid w:val="006A3C11"/>
    <w:rsid w:val="006A657F"/>
    <w:rsid w:val="006B51BB"/>
    <w:rsid w:val="006B7010"/>
    <w:rsid w:val="006C3095"/>
    <w:rsid w:val="006E1151"/>
    <w:rsid w:val="006E50B1"/>
    <w:rsid w:val="006E6311"/>
    <w:rsid w:val="006E7037"/>
    <w:rsid w:val="007145FF"/>
    <w:rsid w:val="00715B2A"/>
    <w:rsid w:val="00732725"/>
    <w:rsid w:val="00733B21"/>
    <w:rsid w:val="007450F1"/>
    <w:rsid w:val="00751515"/>
    <w:rsid w:val="007626B7"/>
    <w:rsid w:val="0078212B"/>
    <w:rsid w:val="00784DF6"/>
    <w:rsid w:val="00785232"/>
    <w:rsid w:val="007951D9"/>
    <w:rsid w:val="007B186C"/>
    <w:rsid w:val="007C1696"/>
    <w:rsid w:val="007C3ED0"/>
    <w:rsid w:val="007C48C4"/>
    <w:rsid w:val="007C5971"/>
    <w:rsid w:val="007E42DC"/>
    <w:rsid w:val="007F54B9"/>
    <w:rsid w:val="00806A76"/>
    <w:rsid w:val="0080794F"/>
    <w:rsid w:val="00811C9D"/>
    <w:rsid w:val="00816C80"/>
    <w:rsid w:val="00841BCD"/>
    <w:rsid w:val="00847264"/>
    <w:rsid w:val="00851A8E"/>
    <w:rsid w:val="0085365B"/>
    <w:rsid w:val="00875152"/>
    <w:rsid w:val="008826C1"/>
    <w:rsid w:val="00883DFD"/>
    <w:rsid w:val="0089210C"/>
    <w:rsid w:val="00893D2E"/>
    <w:rsid w:val="008A1BF7"/>
    <w:rsid w:val="008A4519"/>
    <w:rsid w:val="008A5B0E"/>
    <w:rsid w:val="008B0961"/>
    <w:rsid w:val="008C39F7"/>
    <w:rsid w:val="008E03A7"/>
    <w:rsid w:val="0090091A"/>
    <w:rsid w:val="009042BD"/>
    <w:rsid w:val="00904FE4"/>
    <w:rsid w:val="00927740"/>
    <w:rsid w:val="00936159"/>
    <w:rsid w:val="00943B5A"/>
    <w:rsid w:val="009664AC"/>
    <w:rsid w:val="00977E1D"/>
    <w:rsid w:val="00987366"/>
    <w:rsid w:val="00987C55"/>
    <w:rsid w:val="009905F9"/>
    <w:rsid w:val="009B0573"/>
    <w:rsid w:val="009B7B4B"/>
    <w:rsid w:val="009B7C21"/>
    <w:rsid w:val="009E4E6E"/>
    <w:rsid w:val="00A04992"/>
    <w:rsid w:val="00A147AA"/>
    <w:rsid w:val="00A21814"/>
    <w:rsid w:val="00A21D71"/>
    <w:rsid w:val="00A22B78"/>
    <w:rsid w:val="00A25AE5"/>
    <w:rsid w:val="00A26442"/>
    <w:rsid w:val="00A37002"/>
    <w:rsid w:val="00A4355E"/>
    <w:rsid w:val="00A520D9"/>
    <w:rsid w:val="00A55F6C"/>
    <w:rsid w:val="00A64DA0"/>
    <w:rsid w:val="00A832AF"/>
    <w:rsid w:val="00A92BCD"/>
    <w:rsid w:val="00AA1B0E"/>
    <w:rsid w:val="00AA2FFA"/>
    <w:rsid w:val="00AA47B6"/>
    <w:rsid w:val="00AC163B"/>
    <w:rsid w:val="00AC449A"/>
    <w:rsid w:val="00AC5CA7"/>
    <w:rsid w:val="00AC5DFC"/>
    <w:rsid w:val="00AC6058"/>
    <w:rsid w:val="00AE2BA5"/>
    <w:rsid w:val="00AE56B1"/>
    <w:rsid w:val="00AE6D09"/>
    <w:rsid w:val="00AF7A7C"/>
    <w:rsid w:val="00B02070"/>
    <w:rsid w:val="00B07E2B"/>
    <w:rsid w:val="00B30C83"/>
    <w:rsid w:val="00B408B6"/>
    <w:rsid w:val="00B542DA"/>
    <w:rsid w:val="00B73862"/>
    <w:rsid w:val="00B73F43"/>
    <w:rsid w:val="00B75BBF"/>
    <w:rsid w:val="00B81CDC"/>
    <w:rsid w:val="00BA308C"/>
    <w:rsid w:val="00BA6B66"/>
    <w:rsid w:val="00BA6E48"/>
    <w:rsid w:val="00BE0AF6"/>
    <w:rsid w:val="00BE1F03"/>
    <w:rsid w:val="00BE58A7"/>
    <w:rsid w:val="00BF1470"/>
    <w:rsid w:val="00BF1D63"/>
    <w:rsid w:val="00BF2218"/>
    <w:rsid w:val="00C0426B"/>
    <w:rsid w:val="00C045DF"/>
    <w:rsid w:val="00C11A7D"/>
    <w:rsid w:val="00C26D43"/>
    <w:rsid w:val="00C35173"/>
    <w:rsid w:val="00C4098A"/>
    <w:rsid w:val="00C46548"/>
    <w:rsid w:val="00C574D5"/>
    <w:rsid w:val="00C73F32"/>
    <w:rsid w:val="00C804B7"/>
    <w:rsid w:val="00C87462"/>
    <w:rsid w:val="00C91A68"/>
    <w:rsid w:val="00CA180C"/>
    <w:rsid w:val="00CB22B2"/>
    <w:rsid w:val="00CB313C"/>
    <w:rsid w:val="00CB37F4"/>
    <w:rsid w:val="00CC3EE2"/>
    <w:rsid w:val="00CD7492"/>
    <w:rsid w:val="00CE3A6B"/>
    <w:rsid w:val="00CF555F"/>
    <w:rsid w:val="00D00211"/>
    <w:rsid w:val="00D006D1"/>
    <w:rsid w:val="00D025AE"/>
    <w:rsid w:val="00D06309"/>
    <w:rsid w:val="00D206D4"/>
    <w:rsid w:val="00D244F6"/>
    <w:rsid w:val="00D351EA"/>
    <w:rsid w:val="00D40288"/>
    <w:rsid w:val="00D43403"/>
    <w:rsid w:val="00D50A6B"/>
    <w:rsid w:val="00D5270B"/>
    <w:rsid w:val="00D62E71"/>
    <w:rsid w:val="00D632C8"/>
    <w:rsid w:val="00D6430D"/>
    <w:rsid w:val="00D66188"/>
    <w:rsid w:val="00D731F6"/>
    <w:rsid w:val="00D740CA"/>
    <w:rsid w:val="00D85728"/>
    <w:rsid w:val="00D95481"/>
    <w:rsid w:val="00DA122D"/>
    <w:rsid w:val="00DC5891"/>
    <w:rsid w:val="00DC7A13"/>
    <w:rsid w:val="00DE1E43"/>
    <w:rsid w:val="00DE7064"/>
    <w:rsid w:val="00DF2997"/>
    <w:rsid w:val="00E10BC4"/>
    <w:rsid w:val="00E1415D"/>
    <w:rsid w:val="00E213BD"/>
    <w:rsid w:val="00E323E9"/>
    <w:rsid w:val="00E34018"/>
    <w:rsid w:val="00E40BAD"/>
    <w:rsid w:val="00E437D2"/>
    <w:rsid w:val="00E43BF9"/>
    <w:rsid w:val="00E46D24"/>
    <w:rsid w:val="00E51930"/>
    <w:rsid w:val="00E55751"/>
    <w:rsid w:val="00E7398E"/>
    <w:rsid w:val="00E774E2"/>
    <w:rsid w:val="00E8623D"/>
    <w:rsid w:val="00EA2311"/>
    <w:rsid w:val="00EC7BC3"/>
    <w:rsid w:val="00ED7600"/>
    <w:rsid w:val="00EE5178"/>
    <w:rsid w:val="00EF6073"/>
    <w:rsid w:val="00EF698B"/>
    <w:rsid w:val="00F1362C"/>
    <w:rsid w:val="00F414F1"/>
    <w:rsid w:val="00F44144"/>
    <w:rsid w:val="00F508B8"/>
    <w:rsid w:val="00F72CB1"/>
    <w:rsid w:val="00F8215E"/>
    <w:rsid w:val="00F824F5"/>
    <w:rsid w:val="00F90FAB"/>
    <w:rsid w:val="00F9374D"/>
    <w:rsid w:val="00FC29B9"/>
    <w:rsid w:val="00FC6FD3"/>
    <w:rsid w:val="00FE0F5D"/>
    <w:rsid w:val="00FE305C"/>
    <w:rsid w:val="00FF0301"/>
    <w:rsid w:val="00FF706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A36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C804B7"/>
    <w:pPr>
      <w:tabs>
        <w:tab w:val="right" w:leader="dot" w:pos="9617"/>
      </w:tabs>
      <w:spacing w:after="100"/>
    </w:pPr>
    <w:rPr>
      <w:b/>
    </w:rPr>
  </w:style>
  <w:style w:type="paragraph" w:styleId="Header">
    <w:name w:val="header"/>
    <w:basedOn w:val="Normal"/>
    <w:link w:val="HeaderChar"/>
    <w:uiPriority w:val="99"/>
    <w:unhideWhenUsed/>
    <w:rsid w:val="00057A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7AB8"/>
    <w:rPr>
      <w:rFonts w:ascii="Times New Roman" w:hAnsi="Times New Roman"/>
      <w:sz w:val="20"/>
      <w:lang w:val="en-GB"/>
    </w:rPr>
  </w:style>
  <w:style w:type="paragraph" w:styleId="Footer">
    <w:name w:val="footer"/>
    <w:basedOn w:val="Normal"/>
    <w:link w:val="FooterChar"/>
    <w:uiPriority w:val="99"/>
    <w:unhideWhenUsed/>
    <w:rsid w:val="00057A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7AB8"/>
    <w:rPr>
      <w:rFonts w:ascii="Times New Roman" w:hAnsi="Times New Roman"/>
      <w:sz w:val="20"/>
      <w:lang w:val="en-GB"/>
    </w:rPr>
  </w:style>
  <w:style w:type="paragraph" w:customStyle="1" w:styleId="B1">
    <w:name w:val="B1"/>
    <w:basedOn w:val="List"/>
    <w:link w:val="B1Char"/>
    <w:rsid w:val="00943B5A"/>
    <w:pPr>
      <w:spacing w:after="180" w:line="240" w:lineRule="auto"/>
      <w:ind w:left="568" w:hanging="284"/>
      <w:contextualSpacing w:val="0"/>
    </w:pPr>
    <w:rPr>
      <w:rFonts w:eastAsia="Times New Roman" w:cs="Times New Roman"/>
      <w:szCs w:val="20"/>
    </w:rPr>
  </w:style>
  <w:style w:type="character" w:customStyle="1" w:styleId="B1Char">
    <w:name w:val="B1 Char"/>
    <w:link w:val="B1"/>
    <w:qFormat/>
    <w:rsid w:val="00943B5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43B5A"/>
    <w:pPr>
      <w:ind w:left="283" w:hanging="283"/>
      <w:contextualSpacing/>
    </w:pPr>
  </w:style>
  <w:style w:type="paragraph" w:styleId="Revision">
    <w:name w:val="Revision"/>
    <w:hidden/>
    <w:uiPriority w:val="99"/>
    <w:semiHidden/>
    <w:rsid w:val="00F44144"/>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87034">
      <w:bodyDiv w:val="1"/>
      <w:marLeft w:val="0"/>
      <w:marRight w:val="0"/>
      <w:marTop w:val="0"/>
      <w:marBottom w:val="0"/>
      <w:divBdr>
        <w:top w:val="none" w:sz="0" w:space="0" w:color="auto"/>
        <w:left w:val="none" w:sz="0" w:space="0" w:color="auto"/>
        <w:bottom w:val="none" w:sz="0" w:space="0" w:color="auto"/>
        <w:right w:val="none" w:sz="0" w:space="0" w:color="auto"/>
      </w:divBdr>
    </w:div>
    <w:div w:id="696856485">
      <w:bodyDiv w:val="1"/>
      <w:marLeft w:val="0"/>
      <w:marRight w:val="0"/>
      <w:marTop w:val="0"/>
      <w:marBottom w:val="0"/>
      <w:divBdr>
        <w:top w:val="none" w:sz="0" w:space="0" w:color="auto"/>
        <w:left w:val="none" w:sz="0" w:space="0" w:color="auto"/>
        <w:bottom w:val="none" w:sz="0" w:space="0" w:color="auto"/>
        <w:right w:val="none" w:sz="0" w:space="0" w:color="auto"/>
      </w:divBdr>
    </w:div>
    <w:div w:id="1043217040">
      <w:bodyDiv w:val="1"/>
      <w:marLeft w:val="0"/>
      <w:marRight w:val="0"/>
      <w:marTop w:val="0"/>
      <w:marBottom w:val="0"/>
      <w:divBdr>
        <w:top w:val="none" w:sz="0" w:space="0" w:color="auto"/>
        <w:left w:val="none" w:sz="0" w:space="0" w:color="auto"/>
        <w:bottom w:val="none" w:sz="0" w:space="0" w:color="auto"/>
        <w:right w:val="none" w:sz="0" w:space="0" w:color="auto"/>
      </w:divBdr>
    </w:div>
    <w:div w:id="1464618652">
      <w:bodyDiv w:val="1"/>
      <w:marLeft w:val="0"/>
      <w:marRight w:val="0"/>
      <w:marTop w:val="0"/>
      <w:marBottom w:val="0"/>
      <w:divBdr>
        <w:top w:val="none" w:sz="0" w:space="0" w:color="auto"/>
        <w:left w:val="none" w:sz="0" w:space="0" w:color="auto"/>
        <w:bottom w:val="none" w:sz="0" w:space="0" w:color="auto"/>
        <w:right w:val="none" w:sz="0" w:space="0" w:color="auto"/>
      </w:divBdr>
    </w:div>
    <w:div w:id="1796219561">
      <w:bodyDiv w:val="1"/>
      <w:marLeft w:val="0"/>
      <w:marRight w:val="0"/>
      <w:marTop w:val="0"/>
      <w:marBottom w:val="0"/>
      <w:divBdr>
        <w:top w:val="none" w:sz="0" w:space="0" w:color="auto"/>
        <w:left w:val="none" w:sz="0" w:space="0" w:color="auto"/>
        <w:bottom w:val="none" w:sz="0" w:space="0" w:color="auto"/>
        <w:right w:val="none" w:sz="0" w:space="0" w:color="auto"/>
      </w:divBdr>
    </w:div>
    <w:div w:id="21337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2024-04-08T20:14:00Z</dcterms:created>
  <dcterms:modified xsi:type="dcterms:W3CDTF">2024-04-08T20:14:00Z</dcterms:modified>
</cp:coreProperties>
</file>